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14980" w14:textId="6EF852AF" w:rsidR="00A729F5" w:rsidRPr="00DA12F7" w:rsidRDefault="00A729F5" w:rsidP="00A729F5">
      <w:pPr>
        <w:tabs>
          <w:tab w:val="right" w:pos="9630"/>
        </w:tabs>
        <w:spacing w:after="0"/>
      </w:pPr>
      <w:r w:rsidRPr="00DA12F7">
        <w:rPr>
          <w:rFonts w:ascii="Arial" w:hAnsi="Arial" w:cs="Arial"/>
          <w:b/>
          <w:sz w:val="24"/>
        </w:rPr>
        <w:t xml:space="preserve">3GPP TSG RAN WG1 </w:t>
      </w:r>
      <w:r w:rsidR="00FE650C">
        <w:rPr>
          <w:rFonts w:ascii="Arial" w:hAnsi="Arial" w:cs="Arial"/>
          <w:b/>
          <w:sz w:val="24"/>
        </w:rPr>
        <w:t xml:space="preserve">Meeting </w:t>
      </w:r>
      <w:r w:rsidR="009E1522">
        <w:rPr>
          <w:rFonts w:ascii="Arial" w:hAnsi="Arial" w:cs="Arial"/>
          <w:b/>
          <w:sz w:val="24"/>
        </w:rPr>
        <w:t>#9</w:t>
      </w:r>
      <w:r w:rsidR="00D41DB1">
        <w:rPr>
          <w:rFonts w:ascii="Arial" w:hAnsi="Arial" w:cs="Arial"/>
          <w:b/>
          <w:sz w:val="24"/>
        </w:rPr>
        <w:t>3</w:t>
      </w:r>
      <w:r w:rsidRPr="00DA12F7">
        <w:rPr>
          <w:rFonts w:ascii="Arial" w:hAnsi="Arial" w:cs="Arial"/>
          <w:b/>
          <w:sz w:val="24"/>
        </w:rPr>
        <w:tab/>
        <w:t>R1-</w:t>
      </w:r>
      <w:r w:rsidR="00A55652" w:rsidRPr="00A55652">
        <w:rPr>
          <w:rFonts w:ascii="Arial" w:hAnsi="Arial" w:cs="Arial"/>
          <w:b/>
          <w:sz w:val="24"/>
        </w:rPr>
        <w:t>1807368</w:t>
      </w:r>
    </w:p>
    <w:p w14:paraId="0C2D9163" w14:textId="19B1DB1E" w:rsidR="00A729F5" w:rsidRPr="00DA12F7" w:rsidRDefault="00C75DF1" w:rsidP="00A729F5">
      <w:pPr>
        <w:tabs>
          <w:tab w:val="right" w:pos="9630"/>
        </w:tabs>
        <w:spacing w:after="0"/>
        <w:rPr>
          <w:rFonts w:ascii="Arial" w:hAnsi="Arial" w:cs="Arial"/>
          <w:b/>
          <w:sz w:val="24"/>
          <w:szCs w:val="24"/>
        </w:rPr>
      </w:pPr>
      <w:r w:rsidRPr="003F4501">
        <w:rPr>
          <w:rFonts w:ascii="Arial" w:hAnsi="Arial" w:cs="Arial"/>
          <w:b/>
          <w:sz w:val="24"/>
          <w:szCs w:val="24"/>
        </w:rPr>
        <w:t>Busan, Korea, May 21</w:t>
      </w:r>
      <w:r w:rsidRPr="003F4501">
        <w:rPr>
          <w:rFonts w:ascii="Arial" w:hAnsi="Arial" w:cs="Arial"/>
          <w:b/>
          <w:sz w:val="24"/>
          <w:szCs w:val="24"/>
          <w:vertAlign w:val="superscript"/>
        </w:rPr>
        <w:t>st</w:t>
      </w:r>
      <w:r>
        <w:rPr>
          <w:rFonts w:ascii="Arial" w:hAnsi="Arial" w:cs="Arial"/>
          <w:b/>
          <w:sz w:val="24"/>
          <w:szCs w:val="24"/>
        </w:rPr>
        <w:t xml:space="preserve"> </w:t>
      </w:r>
      <w:r w:rsidRPr="003F4501">
        <w:rPr>
          <w:rFonts w:ascii="Arial" w:hAnsi="Arial" w:cs="Arial"/>
          <w:b/>
          <w:sz w:val="24"/>
          <w:szCs w:val="24"/>
        </w:rPr>
        <w:t>– 25</w:t>
      </w:r>
      <w:r w:rsidRPr="003F4501">
        <w:rPr>
          <w:rFonts w:ascii="Arial" w:hAnsi="Arial" w:cs="Arial"/>
          <w:b/>
          <w:sz w:val="24"/>
          <w:szCs w:val="24"/>
          <w:vertAlign w:val="superscript"/>
        </w:rPr>
        <w:t>th</w:t>
      </w:r>
      <w:r w:rsidRPr="003F4501">
        <w:rPr>
          <w:rFonts w:ascii="Arial" w:hAnsi="Arial" w:cs="Arial"/>
          <w:b/>
          <w:sz w:val="24"/>
          <w:szCs w:val="24"/>
        </w:rPr>
        <w:t>, 2018</w:t>
      </w:r>
    </w:p>
    <w:p w14:paraId="43B7F87B" w14:textId="77777777" w:rsidR="0068226B" w:rsidRPr="000A64D8" w:rsidRDefault="0068226B" w:rsidP="00480B03">
      <w:pPr>
        <w:pStyle w:val="Footer"/>
        <w:jc w:val="both"/>
        <w:rPr>
          <w:noProof w:val="0"/>
        </w:rPr>
      </w:pPr>
    </w:p>
    <w:p w14:paraId="43B7F87C" w14:textId="21C26E8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F00B6">
        <w:rPr>
          <w:rFonts w:ascii="Arial" w:hAnsi="Arial"/>
          <w:sz w:val="24"/>
        </w:rPr>
        <w:t>7</w:t>
      </w:r>
      <w:r w:rsidR="00955C57">
        <w:rPr>
          <w:rFonts w:ascii="Arial" w:hAnsi="Arial"/>
          <w:sz w:val="24"/>
        </w:rPr>
        <w:t>.</w:t>
      </w:r>
      <w:r w:rsidR="009E1522">
        <w:rPr>
          <w:rFonts w:ascii="Arial" w:hAnsi="Arial"/>
          <w:sz w:val="24"/>
        </w:rPr>
        <w:t>1.</w:t>
      </w:r>
      <w:r w:rsidR="00955C57">
        <w:rPr>
          <w:rFonts w:ascii="Arial" w:hAnsi="Arial"/>
          <w:sz w:val="24"/>
        </w:rPr>
        <w:t>3.</w:t>
      </w:r>
      <w:r w:rsidR="008708B4">
        <w:rPr>
          <w:rFonts w:ascii="Arial" w:hAnsi="Arial"/>
          <w:sz w:val="24"/>
        </w:rPr>
        <w:t>4</w:t>
      </w:r>
      <w:r w:rsidR="00FF00B6">
        <w:rPr>
          <w:rFonts w:ascii="Arial" w:hAnsi="Arial"/>
          <w:sz w:val="24"/>
        </w:rPr>
        <w:t>.</w:t>
      </w:r>
      <w:r w:rsidR="00FC6C9B">
        <w:rPr>
          <w:rFonts w:ascii="Arial" w:hAnsi="Arial"/>
          <w:sz w:val="24"/>
        </w:rPr>
        <w:t>1</w:t>
      </w:r>
    </w:p>
    <w:p w14:paraId="43B7F87D" w14:textId="7D1B9A3C"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E0D98E8"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E650C">
        <w:rPr>
          <w:rFonts w:ascii="Arial" w:hAnsi="Arial"/>
          <w:sz w:val="22"/>
        </w:rPr>
        <w:t>Remaining</w:t>
      </w:r>
      <w:r w:rsidR="00FF00B6">
        <w:rPr>
          <w:rFonts w:ascii="Arial" w:hAnsi="Arial"/>
          <w:sz w:val="22"/>
        </w:rPr>
        <w:t xml:space="preserve"> </w:t>
      </w:r>
      <w:r w:rsidR="00EE20B3">
        <w:rPr>
          <w:rFonts w:ascii="Arial" w:hAnsi="Arial"/>
          <w:sz w:val="22"/>
        </w:rPr>
        <w:t>Issue</w:t>
      </w:r>
      <w:r w:rsidR="00901BDF">
        <w:rPr>
          <w:rFonts w:ascii="Arial" w:hAnsi="Arial"/>
          <w:sz w:val="22"/>
        </w:rPr>
        <w:t>s</w:t>
      </w:r>
      <w:r w:rsidR="00FF00B6">
        <w:rPr>
          <w:rFonts w:ascii="Arial" w:hAnsi="Arial"/>
          <w:sz w:val="22"/>
        </w:rPr>
        <w:t xml:space="preserve"> on </w:t>
      </w:r>
      <w:r w:rsidR="005F76BE">
        <w:rPr>
          <w:rFonts w:ascii="Arial" w:hAnsi="Arial"/>
          <w:sz w:val="24"/>
          <w:szCs w:val="24"/>
        </w:rPr>
        <w:t>BWP</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F9B6AB3" w14:textId="1FAFD84B" w:rsidR="00E4038C" w:rsidRDefault="00403223" w:rsidP="00E4038C">
      <w:pPr>
        <w:pStyle w:val="Heading1"/>
        <w:textAlignment w:val="auto"/>
      </w:pPr>
      <w:r>
        <w:t>Overview</w:t>
      </w:r>
    </w:p>
    <w:p w14:paraId="41570371" w14:textId="17932BB0" w:rsidR="007429CA" w:rsidRDefault="00142FBC" w:rsidP="00E4038C">
      <w:pPr>
        <w:spacing w:after="120"/>
      </w:pPr>
      <w:r>
        <w:t xml:space="preserve">In this contribution, </w:t>
      </w:r>
      <w:r w:rsidR="0038040A">
        <w:t xml:space="preserve">we will </w:t>
      </w:r>
      <w:r w:rsidR="00D00096">
        <w:t xml:space="preserve">discuss </w:t>
      </w:r>
      <w:r>
        <w:t xml:space="preserve">some of the </w:t>
      </w:r>
      <w:r w:rsidR="00D00096">
        <w:t xml:space="preserve">remaining </w:t>
      </w:r>
      <w:r>
        <w:t>issues on BWP.</w:t>
      </w:r>
      <w:r w:rsidR="002F1D03">
        <w:t xml:space="preserve"> </w:t>
      </w:r>
      <w:r w:rsidR="00EC2DC2">
        <w:t xml:space="preserve">One </w:t>
      </w:r>
      <w:r w:rsidR="00F00EF1">
        <w:t xml:space="preserve">major </w:t>
      </w:r>
      <w:r w:rsidR="00EC2DC2">
        <w:t xml:space="preserve">remaining issue is DCI signaling design for active BWP switching. </w:t>
      </w:r>
      <w:r w:rsidR="009902F6">
        <w:t xml:space="preserve">Also, BWP transition rules and QCL assumptions during BWP switch are discussed. </w:t>
      </w:r>
      <w:r w:rsidR="00BB3F27">
        <w:t>Sections which are based on resubmission are marked in the beginning of the section</w:t>
      </w:r>
      <w:r w:rsidR="00D515E8">
        <w:t>.</w:t>
      </w:r>
    </w:p>
    <w:p w14:paraId="5830124C" w14:textId="77777777" w:rsidR="00EC2DC2" w:rsidRDefault="00EC2DC2" w:rsidP="00E4038C">
      <w:pPr>
        <w:spacing w:after="120"/>
      </w:pPr>
    </w:p>
    <w:p w14:paraId="76A886CE" w14:textId="422CAAEC" w:rsidR="00B14994" w:rsidRPr="00FE650C" w:rsidRDefault="00D021B4" w:rsidP="00B14994">
      <w:pPr>
        <w:pStyle w:val="Heading1"/>
      </w:pPr>
      <w:r>
        <w:t>Discussion</w:t>
      </w:r>
    </w:p>
    <w:p w14:paraId="0107EFF5" w14:textId="3B026A07" w:rsidR="001437FC" w:rsidRDefault="001437FC" w:rsidP="006A5F67">
      <w:pPr>
        <w:pStyle w:val="Heading2"/>
      </w:pPr>
      <w:bookmarkStart w:id="2" w:name="_Ref506512084"/>
      <w:r>
        <w:t xml:space="preserve">DCI </w:t>
      </w:r>
      <w:proofErr w:type="spellStart"/>
      <w:r>
        <w:t>Signaling</w:t>
      </w:r>
      <w:proofErr w:type="spellEnd"/>
      <w:r>
        <w:t xml:space="preserve"> Design for Active BWP Switch</w:t>
      </w:r>
      <w:r w:rsidR="005F66F7">
        <w:t>ing</w:t>
      </w:r>
      <w:bookmarkEnd w:id="2"/>
    </w:p>
    <w:p w14:paraId="6B2A0F30" w14:textId="6502E761" w:rsidR="006A5F67" w:rsidRDefault="006A5F67" w:rsidP="006A5F67">
      <w:pPr>
        <w:pStyle w:val="Heading3"/>
      </w:pPr>
      <w:r>
        <w:t>Background</w:t>
      </w:r>
    </w:p>
    <w:p w14:paraId="2D987DC9" w14:textId="16A55F76" w:rsidR="001437FC" w:rsidRDefault="005F3FC7" w:rsidP="001437FC">
      <w:pPr>
        <w:rPr>
          <w:lang w:val="en-GB"/>
        </w:rPr>
      </w:pPr>
      <w:r>
        <w:rPr>
          <w:lang w:val="en-GB"/>
        </w:rPr>
        <w:t>Since the</w:t>
      </w:r>
      <w:r w:rsidR="005F66F7">
        <w:rPr>
          <w:lang w:val="en-GB"/>
        </w:rPr>
        <w:t xml:space="preserve"> </w:t>
      </w:r>
      <w:r w:rsidR="001437FC">
        <w:rPr>
          <w:lang w:val="en-GB"/>
        </w:rPr>
        <w:t>RAN1 NR AH1801</w:t>
      </w:r>
      <w:r w:rsidRPr="005F3FC7">
        <w:rPr>
          <w:lang w:val="en-GB"/>
        </w:rPr>
        <w:t xml:space="preserve"> </w:t>
      </w:r>
      <w:r>
        <w:rPr>
          <w:lang w:val="en-GB"/>
        </w:rPr>
        <w:t>meeting</w:t>
      </w:r>
      <w:r w:rsidR="001437FC">
        <w:rPr>
          <w:lang w:val="en-GB"/>
        </w:rPr>
        <w:t xml:space="preserve">, </w:t>
      </w:r>
      <w:r w:rsidR="005F66F7">
        <w:rPr>
          <w:lang w:val="en-GB"/>
        </w:rPr>
        <w:t xml:space="preserve">extensive discussion took place on the details of DCI </w:t>
      </w:r>
      <w:r w:rsidR="00A113B9">
        <w:rPr>
          <w:lang w:val="en-GB"/>
        </w:rPr>
        <w:t>signalling design for active BWP switching</w:t>
      </w:r>
      <w:r>
        <w:rPr>
          <w:lang w:val="en-GB"/>
        </w:rPr>
        <w:t xml:space="preserve"> </w:t>
      </w:r>
      <w:r>
        <w:rPr>
          <w:lang w:val="en-GB"/>
        </w:rPr>
        <w:fldChar w:fldCharType="begin"/>
      </w:r>
      <w:r>
        <w:rPr>
          <w:lang w:val="en-GB"/>
        </w:rPr>
        <w:instrText xml:space="preserve"> REF _Ref506295683 \r \h </w:instrText>
      </w:r>
      <w:r>
        <w:rPr>
          <w:lang w:val="en-GB"/>
        </w:rPr>
      </w:r>
      <w:r>
        <w:rPr>
          <w:lang w:val="en-GB"/>
        </w:rPr>
        <w:fldChar w:fldCharType="separate"/>
      </w:r>
      <w:r w:rsidR="00ED57BA">
        <w:rPr>
          <w:lang w:val="en-GB"/>
        </w:rPr>
        <w:t>[3]</w:t>
      </w:r>
      <w:r>
        <w:rPr>
          <w:lang w:val="en-GB"/>
        </w:rPr>
        <w:fldChar w:fldCharType="end"/>
      </w:r>
      <w:r w:rsidR="00A113B9">
        <w:rPr>
          <w:lang w:val="en-GB"/>
        </w:rPr>
        <w:t xml:space="preserve">. </w:t>
      </w:r>
      <w:r>
        <w:rPr>
          <w:lang w:val="en-GB"/>
        </w:rPr>
        <w:t xml:space="preserve">In RAN1 #92bis, the </w:t>
      </w:r>
      <w:r w:rsidR="009B5A0E">
        <w:rPr>
          <w:lang w:val="en-GB"/>
        </w:rPr>
        <w:t xml:space="preserve">following </w:t>
      </w:r>
      <w:r>
        <w:rPr>
          <w:lang w:val="en-GB"/>
        </w:rPr>
        <w:t>working assumption was agreed with a minor revision</w:t>
      </w:r>
      <w:r w:rsidR="004446AE">
        <w:rPr>
          <w:lang w:val="en-GB"/>
        </w:rPr>
        <w:t xml:space="preserve"> </w:t>
      </w:r>
      <w:r w:rsidR="004446AE">
        <w:rPr>
          <w:lang w:val="en-GB"/>
        </w:rPr>
        <w:fldChar w:fldCharType="begin"/>
      </w:r>
      <w:r w:rsidR="004446AE">
        <w:rPr>
          <w:lang w:val="en-GB"/>
        </w:rPr>
        <w:instrText xml:space="preserve"> REF _Ref513763115 \r \h </w:instrText>
      </w:r>
      <w:r w:rsidR="004446AE">
        <w:rPr>
          <w:lang w:val="en-GB"/>
        </w:rPr>
      </w:r>
      <w:r w:rsidR="004446AE">
        <w:rPr>
          <w:lang w:val="en-GB"/>
        </w:rPr>
        <w:fldChar w:fldCharType="separate"/>
      </w:r>
      <w:r w:rsidR="00ED57BA">
        <w:rPr>
          <w:lang w:val="en-GB"/>
        </w:rPr>
        <w:t>[9]</w:t>
      </w:r>
      <w:r w:rsidR="004446AE">
        <w:rPr>
          <w:lang w:val="en-GB"/>
        </w:rPr>
        <w:fldChar w:fldCharType="end"/>
      </w:r>
      <w:r w:rsidR="00A113B9">
        <w:rPr>
          <w:lang w:val="en-GB"/>
        </w:rPr>
        <w:t>:</w:t>
      </w:r>
    </w:p>
    <w:p w14:paraId="41F43EB7" w14:textId="77777777" w:rsidR="005F3FC7" w:rsidRDefault="005F3FC7" w:rsidP="005F3FC7">
      <w:pPr>
        <w:rPr>
          <w:b/>
          <w:lang w:eastAsia="x-none"/>
        </w:rPr>
      </w:pPr>
      <w:r>
        <w:rPr>
          <w:highlight w:val="green"/>
          <w:lang w:eastAsia="x-none"/>
        </w:rPr>
        <w:t>Agreements</w:t>
      </w:r>
      <w:r>
        <w:rPr>
          <w:b/>
          <w:lang w:eastAsia="x-none"/>
        </w:rPr>
        <w:t>:</w:t>
      </w:r>
    </w:p>
    <w:p w14:paraId="5216D1DD" w14:textId="77777777" w:rsidR="005F3FC7" w:rsidRDefault="005F3FC7" w:rsidP="005F3FC7">
      <w:pPr>
        <w:rPr>
          <w:lang w:eastAsia="x-none"/>
        </w:rPr>
      </w:pPr>
      <w:r>
        <w:rPr>
          <w:lang w:eastAsia="x-none"/>
        </w:rPr>
        <w:t>Confirm the following working assumption with updates:</w:t>
      </w:r>
    </w:p>
    <w:p w14:paraId="507DEDE4" w14:textId="77777777" w:rsidR="005F3FC7" w:rsidRDefault="005F3FC7" w:rsidP="005F3FC7">
      <w:pPr>
        <w:numPr>
          <w:ilvl w:val="0"/>
          <w:numId w:val="30"/>
        </w:numPr>
        <w:overflowPunct/>
        <w:autoSpaceDE/>
        <w:autoSpaceDN/>
        <w:adjustRightInd/>
        <w:spacing w:after="0"/>
        <w:ind w:left="601" w:hanging="241"/>
        <w:textAlignment w:val="auto"/>
        <w:rPr>
          <w:lang w:eastAsia="x-none"/>
        </w:rPr>
      </w:pPr>
      <w:r>
        <w:rPr>
          <w:lang w:eastAsia="x-none"/>
        </w:rPr>
        <w:t>Sizes of all DCI bitfields in DCI formats 0-1 and 1-1 in USS determined by current BWP. Data transmitted on the BWP indicated by the BWP index. If the BWP index activates another BWP, transform as follows:</w:t>
      </w:r>
    </w:p>
    <w:p w14:paraId="0A1C1F2B" w14:textId="77777777" w:rsidR="005F3FC7" w:rsidRDefault="005F3FC7" w:rsidP="00C01291">
      <w:pPr>
        <w:numPr>
          <w:ilvl w:val="1"/>
          <w:numId w:val="30"/>
        </w:numPr>
        <w:overflowPunct/>
        <w:autoSpaceDE/>
        <w:autoSpaceDN/>
        <w:adjustRightInd/>
        <w:spacing w:after="0"/>
        <w:textAlignment w:val="auto"/>
        <w:rPr>
          <w:lang w:eastAsia="x-none"/>
        </w:rPr>
      </w:pPr>
      <w:r>
        <w:rPr>
          <w:lang w:eastAsia="x-none"/>
        </w:rPr>
        <w:t>Zero-pad too small bitfields to match the new BWP</w:t>
      </w:r>
    </w:p>
    <w:p w14:paraId="73E47834" w14:textId="77777777" w:rsidR="005F3FC7" w:rsidRDefault="005F3FC7" w:rsidP="00C01291">
      <w:pPr>
        <w:numPr>
          <w:ilvl w:val="1"/>
          <w:numId w:val="30"/>
        </w:numPr>
        <w:overflowPunct/>
        <w:autoSpaceDE/>
        <w:autoSpaceDN/>
        <w:adjustRightInd/>
        <w:spacing w:after="0"/>
        <w:textAlignment w:val="auto"/>
        <w:rPr>
          <w:b/>
          <w:lang w:eastAsia="x-none"/>
        </w:rPr>
      </w:pPr>
      <w:r>
        <w:rPr>
          <w:lang w:eastAsia="x-none"/>
        </w:rPr>
        <w:t>Truncate too large bitfields to match the new BWP</w:t>
      </w:r>
    </w:p>
    <w:p w14:paraId="1EE45CF3" w14:textId="77777777" w:rsidR="005F3FC7" w:rsidRDefault="005F3FC7" w:rsidP="00C01291">
      <w:pPr>
        <w:numPr>
          <w:ilvl w:val="1"/>
          <w:numId w:val="30"/>
        </w:numPr>
        <w:overflowPunct/>
        <w:autoSpaceDE/>
        <w:autoSpaceDN/>
        <w:adjustRightInd/>
        <w:spacing w:after="0"/>
        <w:textAlignment w:val="auto"/>
        <w:rPr>
          <w:color w:val="FF0000"/>
          <w:u w:val="single"/>
          <w:lang w:eastAsia="x-none"/>
        </w:rPr>
      </w:pPr>
      <w:r>
        <w:rPr>
          <w:color w:val="FF0000"/>
          <w:u w:val="single"/>
          <w:lang w:eastAsia="x-none"/>
        </w:rPr>
        <w:t>The truncation is done from MSB (including the bit indicating the resource allocation type)</w:t>
      </w:r>
    </w:p>
    <w:p w14:paraId="39CEAC12" w14:textId="77777777" w:rsidR="005F3FC7" w:rsidRDefault="005F3FC7" w:rsidP="00C01291">
      <w:pPr>
        <w:numPr>
          <w:ilvl w:val="1"/>
          <w:numId w:val="30"/>
        </w:numPr>
        <w:overflowPunct/>
        <w:autoSpaceDE/>
        <w:autoSpaceDN/>
        <w:adjustRightInd/>
        <w:spacing w:after="0"/>
        <w:textAlignment w:val="auto"/>
        <w:rPr>
          <w:color w:val="FF0000"/>
          <w:u w:val="single"/>
          <w:lang w:eastAsia="x-none"/>
        </w:rPr>
      </w:pPr>
      <w:r>
        <w:rPr>
          <w:color w:val="FF0000"/>
          <w:u w:val="single"/>
          <w:lang w:eastAsia="x-none"/>
        </w:rPr>
        <w:t>Zero-padding is done for MSB</w:t>
      </w:r>
    </w:p>
    <w:p w14:paraId="3DC5430B" w14:textId="77777777" w:rsidR="005F767B" w:rsidRDefault="005F767B" w:rsidP="001437FC">
      <w:pPr>
        <w:rPr>
          <w:lang w:val="en-GB"/>
        </w:rPr>
      </w:pPr>
    </w:p>
    <w:p w14:paraId="794D5EDB" w14:textId="7304E205" w:rsidR="00550351" w:rsidRDefault="00EB68E6" w:rsidP="00EB68E6">
      <w:pPr>
        <w:pStyle w:val="Heading3"/>
      </w:pPr>
      <w:r>
        <w:t>Details on DCI Field Transformation</w:t>
      </w:r>
    </w:p>
    <w:p w14:paraId="2B3EF387" w14:textId="641F7FCB" w:rsidR="00990164" w:rsidRDefault="00F65D7D" w:rsidP="00EB68E6">
      <w:r>
        <w:t xml:space="preserve">DCI field transformation </w:t>
      </w:r>
      <w:r w:rsidR="00CC25CC">
        <w:t>facilitates cross-BWP scheduling.</w:t>
      </w:r>
    </w:p>
    <w:p w14:paraId="3D39D7F9" w14:textId="030DDE11" w:rsidR="00F5248D" w:rsidRDefault="00EC75F6" w:rsidP="00EB68E6">
      <w:pPr>
        <w:pStyle w:val="ListParagraph"/>
        <w:numPr>
          <w:ilvl w:val="0"/>
          <w:numId w:val="16"/>
        </w:numPr>
      </w:pPr>
      <w:r>
        <w:t>For the same DCI field, t</w:t>
      </w:r>
      <w:r w:rsidR="00F5248D">
        <w:t xml:space="preserve">ransforming </w:t>
      </w:r>
      <w:r w:rsidR="007C7367">
        <w:t xml:space="preserve">the content </w:t>
      </w:r>
      <w:r>
        <w:t xml:space="preserve">from a </w:t>
      </w:r>
      <w:r w:rsidR="000C067B">
        <w:t xml:space="preserve">given </w:t>
      </w:r>
      <w:r w:rsidR="00F5248D">
        <w:t xml:space="preserve">field </w:t>
      </w:r>
      <w:r>
        <w:t xml:space="preserve">size </w:t>
      </w:r>
      <w:r w:rsidR="00F5248D">
        <w:t xml:space="preserve">to </w:t>
      </w:r>
      <w:r>
        <w:t>a smaller required field size</w:t>
      </w:r>
      <w:r w:rsidR="00F5248D">
        <w:t xml:space="preserve"> </w:t>
      </w:r>
      <w:r w:rsidR="007726F2">
        <w:t xml:space="preserve">can </w:t>
      </w:r>
      <w:r w:rsidR="00F5248D">
        <w:t xml:space="preserve">always </w:t>
      </w:r>
      <w:r w:rsidR="007726F2">
        <w:t xml:space="preserve">be made to </w:t>
      </w:r>
      <w:r w:rsidR="00F5248D">
        <w:t>work</w:t>
      </w:r>
    </w:p>
    <w:p w14:paraId="1CF285B9" w14:textId="604EBD65" w:rsidR="00F5248D" w:rsidRDefault="00F65D7D" w:rsidP="00EB68E6">
      <w:pPr>
        <w:pStyle w:val="ListParagraph"/>
        <w:numPr>
          <w:ilvl w:val="1"/>
          <w:numId w:val="16"/>
        </w:numPr>
      </w:pPr>
      <w:r>
        <w:t xml:space="preserve">From UE’s perspective, transforming a DCI field with more number of bits to a DCI field with fewer number of bits </w:t>
      </w:r>
      <w:r w:rsidR="00F5248D">
        <w:t xml:space="preserve">sized for </w:t>
      </w:r>
      <w:r>
        <w:t>the new BWP</w:t>
      </w:r>
      <w:r w:rsidR="00F5248D">
        <w:t xml:space="preserve"> is always okay. NW should take the responsibility to ensure that when truncation rule is applied, the truncated bits </w:t>
      </w:r>
      <w:r w:rsidR="002D6A23">
        <w:t>do not contain useful information</w:t>
      </w:r>
      <w:r w:rsidR="00F5248D">
        <w:t>.</w:t>
      </w:r>
    </w:p>
    <w:p w14:paraId="7E2A1E16" w14:textId="405A5219" w:rsidR="00EC75F6" w:rsidRDefault="00EC75F6" w:rsidP="00EB68E6">
      <w:pPr>
        <w:pStyle w:val="ListParagraph"/>
        <w:numPr>
          <w:ilvl w:val="0"/>
          <w:numId w:val="16"/>
        </w:numPr>
      </w:pPr>
      <w:r>
        <w:t xml:space="preserve">For the same DCI field, transforming </w:t>
      </w:r>
      <w:r w:rsidR="007C7367">
        <w:t xml:space="preserve">the content </w:t>
      </w:r>
      <w:r>
        <w:t xml:space="preserve">from a </w:t>
      </w:r>
      <w:r w:rsidR="000C067B">
        <w:t>given f</w:t>
      </w:r>
      <w:r>
        <w:t xml:space="preserve">ield size to a larger required field size may </w:t>
      </w:r>
      <w:r w:rsidR="00D134E0">
        <w:t>require special handling</w:t>
      </w:r>
    </w:p>
    <w:p w14:paraId="7DED0519" w14:textId="36684120" w:rsidR="00F5248D" w:rsidRDefault="0053533A" w:rsidP="00EB68E6">
      <w:pPr>
        <w:pStyle w:val="ListParagraph"/>
        <w:numPr>
          <w:ilvl w:val="1"/>
          <w:numId w:val="16"/>
        </w:numPr>
      </w:pPr>
      <w:r>
        <w:t xml:space="preserve">Please see </w:t>
      </w:r>
      <w:r w:rsidR="00D134E0">
        <w:t xml:space="preserve">Appendix </w:t>
      </w:r>
      <w:r>
        <w:fldChar w:fldCharType="begin"/>
      </w:r>
      <w:r>
        <w:instrText xml:space="preserve"> REF _Ref506306571 \r \h </w:instrText>
      </w:r>
      <w:r>
        <w:fldChar w:fldCharType="separate"/>
      </w:r>
      <w:r w:rsidR="00ED57BA">
        <w:t>5.1</w:t>
      </w:r>
      <w:r>
        <w:fldChar w:fldCharType="end"/>
      </w:r>
      <w:r>
        <w:t xml:space="preserve"> for </w:t>
      </w:r>
      <w:r w:rsidR="00D134E0">
        <w:t xml:space="preserve">complete field-by-field examination. </w:t>
      </w:r>
    </w:p>
    <w:p w14:paraId="621821D7" w14:textId="77777777" w:rsidR="00D134E0" w:rsidRDefault="00D134E0" w:rsidP="00BF7448"/>
    <w:p w14:paraId="6898F5A8" w14:textId="77C1983F" w:rsidR="00BF7448" w:rsidRDefault="00BF7448" w:rsidP="00BF7448">
      <w:r>
        <w:t>Usually, if a DCI field has zero size in the current BWP but is transformed into a DCI field with non-zero size, populating the content with zero and interpreting for the new BWP should result in expected / acceptable behavior. However, there are a few exceptions</w:t>
      </w:r>
      <w:r w:rsidR="00EA2B94">
        <w:t xml:space="preserve"> at least for the following fields, and d</w:t>
      </w:r>
      <w:r>
        <w:t xml:space="preserve">efault behavior </w:t>
      </w:r>
      <w:r w:rsidR="001310E0">
        <w:t>should</w:t>
      </w:r>
      <w:r>
        <w:t xml:space="preserve"> be defined.</w:t>
      </w:r>
    </w:p>
    <w:p w14:paraId="4611B5B7" w14:textId="1222C36F" w:rsidR="00BF7448" w:rsidRDefault="00BF7448" w:rsidP="00BF7448">
      <w:r>
        <w:lastRenderedPageBreak/>
        <w:t>In DCI Format 1-1,</w:t>
      </w:r>
    </w:p>
    <w:p w14:paraId="150A39BC" w14:textId="0DA51AB5" w:rsidR="00EA2B94" w:rsidRDefault="00EA2B94" w:rsidP="00BF7448">
      <w:pPr>
        <w:pStyle w:val="ListParagraph"/>
        <w:numPr>
          <w:ilvl w:val="0"/>
          <w:numId w:val="32"/>
        </w:numPr>
      </w:pPr>
      <w:r>
        <w:t>For MCS/RV/NDI fields, i</w:t>
      </w:r>
      <w:r w:rsidRPr="008C1E59">
        <w:t>f current BWP has &lt;=4 layers, and new BWP has &gt;4 layers, this means 2</w:t>
      </w:r>
      <w:r w:rsidRPr="00EA2B94">
        <w:rPr>
          <w:vertAlign w:val="superscript"/>
        </w:rPr>
        <w:t>nd</w:t>
      </w:r>
      <w:r w:rsidRPr="008C1E59">
        <w:t xml:space="preserve"> codeword cannot be scheduled.</w:t>
      </w:r>
      <w:r>
        <w:t xml:space="preserve"> Default </w:t>
      </w:r>
      <w:proofErr w:type="spellStart"/>
      <w:r>
        <w:t>behavior</w:t>
      </w:r>
      <w:proofErr w:type="spellEnd"/>
      <w:r>
        <w:t xml:space="preserve"> for the new BWP should be that scheduling is limited only to the 1</w:t>
      </w:r>
      <w:r w:rsidRPr="00EA2B94">
        <w:rPr>
          <w:vertAlign w:val="superscript"/>
        </w:rPr>
        <w:t>st</w:t>
      </w:r>
      <w:r>
        <w:t xml:space="preserve"> codeword.</w:t>
      </w:r>
    </w:p>
    <w:p w14:paraId="12E764A6" w14:textId="05133ACA" w:rsidR="00EA2B94" w:rsidRDefault="00EA2B94" w:rsidP="00BF7448">
      <w:pPr>
        <w:pStyle w:val="ListParagraph"/>
        <w:numPr>
          <w:ilvl w:val="0"/>
          <w:numId w:val="32"/>
        </w:numPr>
      </w:pPr>
      <w:r>
        <w:t>For the TCI field, if the field size is zero in current BWP, and 3</w:t>
      </w:r>
      <w:r w:rsidR="00A8263F">
        <w:t xml:space="preserve"> bits</w:t>
      </w:r>
      <w:r>
        <w:t xml:space="preserve"> in new BWP, content </w:t>
      </w:r>
      <w:r w:rsidR="00A8263F">
        <w:t xml:space="preserve">of zero </w:t>
      </w:r>
      <w:r>
        <w:t>should not be assumed for the new BWP</w:t>
      </w:r>
      <w:r w:rsidR="00A8263F">
        <w:t xml:space="preserve"> because it would indicate index zero</w:t>
      </w:r>
      <w:r>
        <w:t xml:space="preserve">. Instead, the default behaviour should be assumed, i.e. scheduled PDSCH is </w:t>
      </w:r>
      <w:proofErr w:type="spellStart"/>
      <w:r>
        <w:t>QCL’ed</w:t>
      </w:r>
      <w:proofErr w:type="spellEnd"/>
      <w:r>
        <w:t xml:space="preserve"> with PDCCH.</w:t>
      </w:r>
    </w:p>
    <w:p w14:paraId="4CAD00CD" w14:textId="62DBB60B" w:rsidR="001310E0" w:rsidRDefault="001310E0" w:rsidP="001310E0">
      <w:pPr>
        <w:pStyle w:val="ListParagraph"/>
        <w:numPr>
          <w:ilvl w:val="0"/>
          <w:numId w:val="32"/>
        </w:numPr>
      </w:pPr>
      <w:r>
        <w:t>For the rate matching indicator field, if the field size is zero in current BWP, and non-zero in new BWP, default behaviour (i.e. assume no rate matching) should be defined for such BWP transition, unless it is confirmed that the value “zero” means no rate matching.</w:t>
      </w:r>
    </w:p>
    <w:p w14:paraId="4DC2FE92" w14:textId="65221373" w:rsidR="001310E0" w:rsidRDefault="001310E0" w:rsidP="00BF7448">
      <w:pPr>
        <w:pStyle w:val="ListParagraph"/>
        <w:numPr>
          <w:ilvl w:val="0"/>
          <w:numId w:val="32"/>
        </w:numPr>
      </w:pPr>
      <w:r>
        <w:t>For the ZP CSI-RS trigger field, if the field size is zero in current BWP, and non-zero in new BWP, default behaviour may need to be defined for such BWP transition. Zero-size field means no CSI-RS triggering. It remains to be confirmed that the value “zero” means no triggering (and does not mean triggering resource index 0).</w:t>
      </w:r>
    </w:p>
    <w:p w14:paraId="635F6EE9" w14:textId="4D15D0F0" w:rsidR="00EA2B94" w:rsidRDefault="00EA2B94" w:rsidP="00EA2B94">
      <w:r>
        <w:t>In DCI Format 0-1,</w:t>
      </w:r>
    </w:p>
    <w:p w14:paraId="4C15227D" w14:textId="0BE4BDEC" w:rsidR="00583141" w:rsidRDefault="001310E0" w:rsidP="001310E0">
      <w:pPr>
        <w:pStyle w:val="ListParagraph"/>
        <w:numPr>
          <w:ilvl w:val="0"/>
          <w:numId w:val="35"/>
        </w:numPr>
      </w:pPr>
      <w:r>
        <w:t>For the CSI request field, if the field size is zero in current BWP, and non-zero in new BWP, default behaviour may need to be defined for such BWP transition. Zero-size field means no CSI request. It remains to be confirmed that the value “zero” means no request for all of the non-zero field size settings.</w:t>
      </w:r>
    </w:p>
    <w:p w14:paraId="6156B32A" w14:textId="4D15DC13" w:rsidR="001310E0" w:rsidRDefault="001310E0" w:rsidP="001310E0">
      <w:pPr>
        <w:pStyle w:val="ListParagraph"/>
        <w:numPr>
          <w:ilvl w:val="0"/>
          <w:numId w:val="35"/>
        </w:numPr>
      </w:pPr>
      <w:r>
        <w:t xml:space="preserve">For the beta offset field, if the field size is zero in current BWP, and non-zero in new BWP, default behaviour (i.e. assume </w:t>
      </w:r>
      <w:r w:rsidR="00296ADD">
        <w:t xml:space="preserve">semi-static </w:t>
      </w:r>
      <w:r>
        <w:t>beta</w:t>
      </w:r>
      <w:r w:rsidR="00296ADD">
        <w:t xml:space="preserve"> values configured by higher layers</w:t>
      </w:r>
      <w:r>
        <w:t>) should be defined for such BWP transition. The value “zero” when the field size is 2 bit means taking the beta from the 1</w:t>
      </w:r>
      <w:r w:rsidRPr="001310E0">
        <w:rPr>
          <w:vertAlign w:val="superscript"/>
        </w:rPr>
        <w:t>st</w:t>
      </w:r>
      <w:r>
        <w:t xml:space="preserve"> entry of the table, which may not be the same as assuming </w:t>
      </w:r>
      <w:r w:rsidR="00296ADD">
        <w:t>the semi-static beta values.</w:t>
      </w:r>
    </w:p>
    <w:p w14:paraId="0A776F5A" w14:textId="77777777" w:rsidR="001310E0" w:rsidRPr="001310E0" w:rsidRDefault="001310E0" w:rsidP="001310E0"/>
    <w:p w14:paraId="1F2076CE" w14:textId="3A1EA1F4" w:rsidR="00A8263F" w:rsidRDefault="00A8263F" w:rsidP="00A8263F">
      <w:pPr>
        <w:pStyle w:val="Caption"/>
        <w:rPr>
          <w:lang w:val="en-GB"/>
        </w:rPr>
      </w:pPr>
      <w:bookmarkStart w:id="3" w:name="_Toc513834885"/>
      <w:r>
        <w:t xml:space="preserve">Proposal </w:t>
      </w:r>
      <w:r w:rsidR="007552E2">
        <w:fldChar w:fldCharType="begin"/>
      </w:r>
      <w:r w:rsidR="007552E2">
        <w:instrText xml:space="preserve"> SEQ Proposal \* ARABIC </w:instrText>
      </w:r>
      <w:r w:rsidR="007552E2">
        <w:fldChar w:fldCharType="separate"/>
      </w:r>
      <w:r w:rsidR="00ED57BA">
        <w:rPr>
          <w:noProof/>
        </w:rPr>
        <w:t>1</w:t>
      </w:r>
      <w:r w:rsidR="007552E2">
        <w:rPr>
          <w:noProof/>
        </w:rPr>
        <w:fldChar w:fldCharType="end"/>
      </w:r>
      <w:r>
        <w:t>: When transforming a DCI field which has zero size in the current BWP to a field with non-zero size in the new BWP, the zero-padding rule works for most fields, but there are exceptions for which default behavior should be explicitly defined.</w:t>
      </w:r>
      <w:r w:rsidR="00296ADD">
        <w:t xml:space="preserve"> These exceptions should be carefully identified.</w:t>
      </w:r>
      <w:bookmarkEnd w:id="3"/>
    </w:p>
    <w:p w14:paraId="74BCDCC9" w14:textId="77777777" w:rsidR="00A8263F" w:rsidRDefault="00A8263F" w:rsidP="001437FC">
      <w:pPr>
        <w:rPr>
          <w:lang w:val="en-GB"/>
        </w:rPr>
      </w:pPr>
    </w:p>
    <w:p w14:paraId="4F76848E" w14:textId="689CB61A" w:rsidR="008802A9" w:rsidRDefault="008802A9" w:rsidP="00485CBD">
      <w:pPr>
        <w:pStyle w:val="Heading3"/>
      </w:pPr>
      <w:bookmarkStart w:id="4" w:name="_Ref506507851"/>
      <w:r>
        <w:t>Frequency-Domain Resource Assignment</w:t>
      </w:r>
    </w:p>
    <w:p w14:paraId="5F02F0EA" w14:textId="2188A604" w:rsidR="008802A9" w:rsidRDefault="0097109D" w:rsidP="008802A9">
      <w:pPr>
        <w:rPr>
          <w:lang w:val="en-GB"/>
        </w:rPr>
      </w:pPr>
      <w:r>
        <w:rPr>
          <w:lang w:val="en-GB"/>
        </w:rPr>
        <w:t>Mismatch in the f</w:t>
      </w:r>
      <w:r w:rsidR="00A7054E">
        <w:rPr>
          <w:lang w:val="en-GB"/>
        </w:rPr>
        <w:t>requency-domain resource assignment field size can aris</w:t>
      </w:r>
      <w:r w:rsidR="00C01B83">
        <w:rPr>
          <w:lang w:val="en-GB"/>
        </w:rPr>
        <w:t xml:space="preserve">e </w:t>
      </w:r>
      <w:r w:rsidR="00181AB0">
        <w:rPr>
          <w:lang w:val="en-GB"/>
        </w:rPr>
        <w:t>during</w:t>
      </w:r>
      <w:r w:rsidR="00C01B83">
        <w:rPr>
          <w:lang w:val="en-GB"/>
        </w:rPr>
        <w:t xml:space="preserve"> cross-BWP scheduling, i.e., when the DCI field size is determined based on the current BWP, but the BWP </w:t>
      </w:r>
      <w:r w:rsidR="00C0465D">
        <w:rPr>
          <w:lang w:val="en-GB"/>
        </w:rPr>
        <w:t>indicator</w:t>
      </w:r>
      <w:r w:rsidR="00C01B83">
        <w:rPr>
          <w:lang w:val="en-GB"/>
        </w:rPr>
        <w:t xml:space="preserve"> </w:t>
      </w:r>
      <w:r w:rsidR="0067333F">
        <w:rPr>
          <w:lang w:val="en-GB"/>
        </w:rPr>
        <w:t xml:space="preserve">field </w:t>
      </w:r>
      <w:r w:rsidR="00C01B83">
        <w:rPr>
          <w:lang w:val="en-GB"/>
        </w:rPr>
        <w:t>indicates that a new BWP is to be activated and the scheduling information applies to the new BWP</w:t>
      </w:r>
      <w:r w:rsidR="00E363CF">
        <w:rPr>
          <w:lang w:val="en-GB"/>
        </w:rPr>
        <w:t>, and the current BWP and the new BWP have different bandwidth.</w:t>
      </w:r>
    </w:p>
    <w:p w14:paraId="12559D1B" w14:textId="04E32ED1" w:rsidR="000F0B56" w:rsidRDefault="000F0B56" w:rsidP="008802A9">
      <w:pPr>
        <w:rPr>
          <w:lang w:val="en-GB"/>
        </w:rPr>
      </w:pPr>
      <w:r>
        <w:rPr>
          <w:lang w:val="en-GB"/>
        </w:rPr>
        <w:t xml:space="preserve">There can also be mismatch in allocation type. For example, the current BWP may be configured with Type 0 allocation, while the new BWP may be configured with Type 1. A BWP may also be configured with both Type 0 and 1, for which the MSB of the frequency domain resource allocation field would indicate whether it is type 0 or 1. Because there can be </w:t>
      </w:r>
      <w:r w:rsidR="00A33076">
        <w:rPr>
          <w:lang w:val="en-GB"/>
        </w:rPr>
        <w:t xml:space="preserve">up to </w:t>
      </w:r>
      <w:r>
        <w:rPr>
          <w:lang w:val="en-GB"/>
        </w:rPr>
        <w:t>three configuration options (Type 0, Type 1, or both Type 0/1) for each BWP, there could be up to 9 combination</w:t>
      </w:r>
      <w:r w:rsidR="00A5427B">
        <w:rPr>
          <w:lang w:val="en-GB"/>
        </w:rPr>
        <w:t>s in terms of the scenarios for transforming the frequency domain allocation type during a BWP switch.</w:t>
      </w:r>
    </w:p>
    <w:p w14:paraId="1A87C6DE" w14:textId="549507D5" w:rsidR="00485CBD" w:rsidRDefault="00A003AB" w:rsidP="00485CBD">
      <w:pPr>
        <w:pStyle w:val="Heading4"/>
      </w:pPr>
      <w:r>
        <w:t>Resource allocation type handling</w:t>
      </w:r>
    </w:p>
    <w:p w14:paraId="068E418B" w14:textId="662932C2" w:rsidR="00A33076" w:rsidRDefault="00A003AB" w:rsidP="008802A9">
      <w:pPr>
        <w:rPr>
          <w:lang w:val="en-GB"/>
        </w:rPr>
      </w:pPr>
      <w:r>
        <w:rPr>
          <w:lang w:val="en-GB"/>
        </w:rPr>
        <w:t xml:space="preserve">With the agreement made in RAN1 #92bis, first, we would like to clarify that Type 0/1 allocation would follow the configuration in the new BWP during a BWP switch. </w:t>
      </w:r>
      <w:r w:rsidR="001651F0">
        <w:rPr>
          <w:lang w:val="en-GB"/>
        </w:rPr>
        <w:t>Basically, interpretation of the transformed content will be based on the new BWP, i.e. the resource allocation type configured for the new BWP. Because NW is aware of the configuration of the new BWP, it can always populate the content of the DCI field before transformation according to the new BWP’s allocation type, despite the field could be sized according to the current BWP’s allocation type.</w:t>
      </w:r>
    </w:p>
    <w:p w14:paraId="0EC1366B" w14:textId="3233DC46" w:rsidR="00636D24" w:rsidRDefault="001651F0" w:rsidP="008802A9">
      <w:pPr>
        <w:rPr>
          <w:lang w:val="en-GB"/>
        </w:rPr>
      </w:pPr>
      <w:r>
        <w:rPr>
          <w:lang w:val="en-GB"/>
        </w:rPr>
        <w:t xml:space="preserve">For example, if current BWP is configured as type 1, and new BWP is </w:t>
      </w:r>
      <w:r w:rsidR="00CC25CC">
        <w:rPr>
          <w:lang w:val="en-GB"/>
        </w:rPr>
        <w:t>T</w:t>
      </w:r>
      <w:r>
        <w:rPr>
          <w:lang w:val="en-GB"/>
        </w:rPr>
        <w:t xml:space="preserve">ype 0. The size of the field would be determined based on </w:t>
      </w:r>
      <w:r w:rsidR="00CC25CC">
        <w:rPr>
          <w:lang w:val="en-GB"/>
        </w:rPr>
        <w:t>T</w:t>
      </w:r>
      <w:r>
        <w:rPr>
          <w:lang w:val="en-GB"/>
        </w:rPr>
        <w:t>ype 1 and according to current BWP’s bandwidth, but NW should populate the content based on the new BWP’s allocation type, which is Type 0. After transformation is applied, the transformed content will be interpreted based on the new BWP</w:t>
      </w:r>
      <w:r w:rsidR="00636D24">
        <w:rPr>
          <w:lang w:val="en-GB"/>
        </w:rPr>
        <w:t>.</w:t>
      </w:r>
    </w:p>
    <w:p w14:paraId="41527F05" w14:textId="1A28152E" w:rsidR="001651F0" w:rsidRDefault="00636D24" w:rsidP="008802A9">
      <w:pPr>
        <w:rPr>
          <w:lang w:val="en-GB"/>
        </w:rPr>
      </w:pPr>
      <w:r>
        <w:rPr>
          <w:lang w:val="en-GB"/>
        </w:rPr>
        <w:t>In case the new BWP is configured with both Type 0 /1 allocation, the following specification applies</w:t>
      </w:r>
      <w:r w:rsidR="001651F0">
        <w:rPr>
          <w:lang w:val="en-GB"/>
        </w:rPr>
        <w:t>:</w:t>
      </w:r>
    </w:p>
    <w:p w14:paraId="055A5CE0" w14:textId="7A1317D8" w:rsidR="001651F0" w:rsidRPr="001651F0" w:rsidRDefault="001651F0" w:rsidP="008802A9">
      <w:pPr>
        <w:rPr>
          <w:i/>
          <w:lang w:val="en-GB"/>
        </w:rPr>
      </w:pPr>
      <w:r w:rsidRPr="001651F0">
        <w:rPr>
          <w:i/>
          <w:lang w:eastAsia="zh-CN"/>
        </w:rPr>
        <w:lastRenderedPageBreak/>
        <w:t>If both resource allocation type 0 and 1 are configured, the MSB bit is used to indicate resource allocation type 0 or resource allocation type 1, where the bit value of 0 indicates resource allocation type 0 and the bit value of 1 indicates resource allocation type 1.</w:t>
      </w:r>
    </w:p>
    <w:p w14:paraId="7706DC51" w14:textId="407DDB89" w:rsidR="001651F0" w:rsidRDefault="001651F0" w:rsidP="008802A9">
      <w:pPr>
        <w:rPr>
          <w:lang w:val="en-GB"/>
        </w:rPr>
      </w:pPr>
      <w:r>
        <w:rPr>
          <w:lang w:val="en-GB"/>
        </w:rPr>
        <w:t xml:space="preserve">This implies that, after the transformation, reapplication of the type indicator </w:t>
      </w:r>
      <w:r w:rsidR="00CC25CC">
        <w:rPr>
          <w:lang w:val="en-GB"/>
        </w:rPr>
        <w:t xml:space="preserve">to the MSB </w:t>
      </w:r>
      <w:r>
        <w:rPr>
          <w:lang w:val="en-GB"/>
        </w:rPr>
        <w:t>can be assumed.</w:t>
      </w:r>
    </w:p>
    <w:p w14:paraId="55322432" w14:textId="65F0712A" w:rsidR="001651F0" w:rsidRDefault="001651F0" w:rsidP="008802A9">
      <w:pPr>
        <w:rPr>
          <w:lang w:val="en-GB"/>
        </w:rPr>
      </w:pPr>
      <w:r>
        <w:rPr>
          <w:lang w:val="en-GB"/>
        </w:rPr>
        <w:t>However, there still remains some ambiguity in the agreement that should be further clarified</w:t>
      </w:r>
      <w:r w:rsidR="008758EF">
        <w:rPr>
          <w:lang w:val="en-GB"/>
        </w:rPr>
        <w:t xml:space="preserve">. Let’s first review the </w:t>
      </w:r>
      <w:r w:rsidR="00F84F10">
        <w:rPr>
          <w:lang w:val="en-GB"/>
        </w:rPr>
        <w:t xml:space="preserve">truncation case </w:t>
      </w:r>
      <w:r w:rsidR="008758EF">
        <w:rPr>
          <w:lang w:val="en-GB"/>
        </w:rPr>
        <w:t>with the following illustration</w:t>
      </w:r>
      <w:r w:rsidR="00F84F10">
        <w:rPr>
          <w:lang w:val="en-GB"/>
        </w:rPr>
        <w:t>:</w:t>
      </w:r>
    </w:p>
    <w:tbl>
      <w:tblPr>
        <w:tblStyle w:val="TableGrid"/>
        <w:tblW w:w="0" w:type="auto"/>
        <w:tblLook w:val="04A0" w:firstRow="1" w:lastRow="0" w:firstColumn="1" w:lastColumn="0" w:noHBand="0" w:noVBand="1"/>
      </w:tblPr>
      <w:tblGrid>
        <w:gridCol w:w="4814"/>
        <w:gridCol w:w="4814"/>
      </w:tblGrid>
      <w:tr w:rsidR="00F84F10" w14:paraId="2DA8A971" w14:textId="77777777" w:rsidTr="00F84F10">
        <w:tc>
          <w:tcPr>
            <w:tcW w:w="4814" w:type="dxa"/>
          </w:tcPr>
          <w:p w14:paraId="16FFA2FF" w14:textId="77777777" w:rsidR="00F84F10" w:rsidRDefault="00F84F10" w:rsidP="008802A9">
            <w:pPr>
              <w:rPr>
                <w:lang w:val="en-GB"/>
              </w:rPr>
            </w:pPr>
            <w:r>
              <w:rPr>
                <w:noProof/>
              </w:rPr>
              <w:drawing>
                <wp:inline distT="0" distB="0" distL="0" distR="0" wp14:anchorId="4410146B" wp14:editId="4B5E89EE">
                  <wp:extent cx="2862072" cy="704088"/>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2072" cy="704088"/>
                          </a:xfrm>
                          <a:prstGeom prst="rect">
                            <a:avLst/>
                          </a:prstGeom>
                        </pic:spPr>
                      </pic:pic>
                    </a:graphicData>
                  </a:graphic>
                </wp:inline>
              </w:drawing>
            </w:r>
          </w:p>
          <w:p w14:paraId="5001A7F2" w14:textId="77777777" w:rsidR="005D1CB0" w:rsidRDefault="005D1CB0" w:rsidP="008802A9">
            <w:pPr>
              <w:rPr>
                <w:lang w:val="en-GB"/>
              </w:rPr>
            </w:pPr>
          </w:p>
          <w:p w14:paraId="7D8B72D3" w14:textId="7BDF5A61" w:rsidR="005D1CB0" w:rsidRDefault="005D1CB0" w:rsidP="008802A9">
            <w:pPr>
              <w:rPr>
                <w:lang w:val="en-GB"/>
              </w:rPr>
            </w:pPr>
            <w:r>
              <w:rPr>
                <w:i/>
                <w:lang w:eastAsia="x-none"/>
              </w:rPr>
              <w:t>“</w:t>
            </w:r>
            <w:r w:rsidRPr="005D1CB0">
              <w:rPr>
                <w:i/>
                <w:lang w:eastAsia="x-none"/>
              </w:rPr>
              <w:t>The truncation is done from MSB (including the bit indicating the resource allocation type)</w:t>
            </w:r>
            <w:r>
              <w:rPr>
                <w:i/>
                <w:lang w:eastAsia="x-none"/>
              </w:rPr>
              <w:t>”</w:t>
            </w:r>
          </w:p>
        </w:tc>
        <w:tc>
          <w:tcPr>
            <w:tcW w:w="4814" w:type="dxa"/>
          </w:tcPr>
          <w:p w14:paraId="69C109FA" w14:textId="012AA852" w:rsidR="00F84F10" w:rsidRDefault="00E1561C" w:rsidP="008802A9">
            <w:pPr>
              <w:rPr>
                <w:lang w:val="en-GB"/>
              </w:rPr>
            </w:pPr>
            <w:r>
              <w:rPr>
                <w:noProof/>
              </w:rPr>
              <w:drawing>
                <wp:inline distT="0" distB="0" distL="0" distR="0" wp14:anchorId="5C87FAC6" wp14:editId="5BBE0609">
                  <wp:extent cx="2606040" cy="2167128"/>
                  <wp:effectExtent l="0" t="0" r="381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6040" cy="2167128"/>
                          </a:xfrm>
                          <a:prstGeom prst="rect">
                            <a:avLst/>
                          </a:prstGeom>
                        </pic:spPr>
                      </pic:pic>
                    </a:graphicData>
                  </a:graphic>
                </wp:inline>
              </w:drawing>
            </w:r>
          </w:p>
        </w:tc>
      </w:tr>
    </w:tbl>
    <w:p w14:paraId="105893BD" w14:textId="77777777" w:rsidR="00F84F10" w:rsidRDefault="00F84F10" w:rsidP="008802A9">
      <w:pPr>
        <w:rPr>
          <w:lang w:val="en-GB"/>
        </w:rPr>
      </w:pPr>
    </w:p>
    <w:p w14:paraId="1C6ABCCB" w14:textId="1593DF86" w:rsidR="00AB3786" w:rsidRDefault="00AB3786" w:rsidP="008802A9">
      <w:pPr>
        <w:rPr>
          <w:lang w:val="en-GB"/>
        </w:rPr>
      </w:pPr>
      <w:r>
        <w:rPr>
          <w:lang w:val="en-GB"/>
        </w:rPr>
        <w:t xml:space="preserve">For the case the new BWP is configured with </w:t>
      </w:r>
      <w:r w:rsidR="00CC25CC">
        <w:rPr>
          <w:lang w:val="en-GB"/>
        </w:rPr>
        <w:t xml:space="preserve">either </w:t>
      </w:r>
      <w:r>
        <w:rPr>
          <w:lang w:val="en-GB"/>
        </w:rPr>
        <w:t>Type 0 or Type 1 allocation, truncation rule works as expected. For the case the new BWP is configured with both Type</w:t>
      </w:r>
      <w:r w:rsidR="0051412E">
        <w:rPr>
          <w:lang w:val="en-GB"/>
        </w:rPr>
        <w:t xml:space="preserve"> </w:t>
      </w:r>
      <w:r>
        <w:rPr>
          <w:lang w:val="en-GB"/>
        </w:rPr>
        <w:t xml:space="preserve">0/1 allocation, specification already states that the MSB would be the </w:t>
      </w:r>
      <w:r w:rsidR="0051412E">
        <w:rPr>
          <w:lang w:val="en-GB"/>
        </w:rPr>
        <w:t>T</w:t>
      </w:r>
      <w:r>
        <w:rPr>
          <w:lang w:val="en-GB"/>
        </w:rPr>
        <w:t>ype</w:t>
      </w:r>
      <w:r w:rsidR="0051412E">
        <w:rPr>
          <w:lang w:val="en-GB"/>
        </w:rPr>
        <w:t xml:space="preserve"> </w:t>
      </w:r>
      <w:r>
        <w:rPr>
          <w:lang w:val="en-GB"/>
        </w:rPr>
        <w:t xml:space="preserve">0/1 indicator, and it is implied that allocation type indicator </w:t>
      </w:r>
      <w:r w:rsidR="00CC25CC">
        <w:rPr>
          <w:lang w:val="en-GB"/>
        </w:rPr>
        <w:t>is</w:t>
      </w:r>
      <w:r>
        <w:rPr>
          <w:lang w:val="en-GB"/>
        </w:rPr>
        <w:t xml:space="preserve"> reapplied to the </w:t>
      </w:r>
      <w:r w:rsidR="009718B0">
        <w:rPr>
          <w:lang w:val="en-GB"/>
        </w:rPr>
        <w:t xml:space="preserve">new </w:t>
      </w:r>
      <w:r>
        <w:rPr>
          <w:lang w:val="en-GB"/>
        </w:rPr>
        <w:t>MSB.</w:t>
      </w:r>
    </w:p>
    <w:p w14:paraId="187FE2BC" w14:textId="32FE94A2" w:rsidR="00F84F10" w:rsidRDefault="00AB3786" w:rsidP="008802A9">
      <w:pPr>
        <w:rPr>
          <w:lang w:val="en-GB"/>
        </w:rPr>
      </w:pPr>
      <w:r>
        <w:rPr>
          <w:lang w:val="en-GB"/>
        </w:rPr>
        <w:t xml:space="preserve">However, for the </w:t>
      </w:r>
      <w:proofErr w:type="gramStart"/>
      <w:r>
        <w:rPr>
          <w:lang w:val="en-GB"/>
        </w:rPr>
        <w:t>zero padding</w:t>
      </w:r>
      <w:proofErr w:type="gramEnd"/>
      <w:r>
        <w:rPr>
          <w:lang w:val="en-GB"/>
        </w:rPr>
        <w:t xml:space="preserve"> case, more clarification would be needed </w:t>
      </w:r>
      <w:r w:rsidR="00C473F0">
        <w:rPr>
          <w:lang w:val="en-GB"/>
        </w:rPr>
        <w:t>for correct behaviour</w:t>
      </w:r>
      <w:r w:rsidR="008758EF">
        <w:rPr>
          <w:lang w:val="en-GB"/>
        </w:rPr>
        <w:t xml:space="preserve"> if the current BWP is configured with both Type 0/1 allocation,</w:t>
      </w:r>
      <w:r w:rsidR="00C473F0">
        <w:rPr>
          <w:lang w:val="en-GB"/>
        </w:rPr>
        <w:t xml:space="preserve"> </w:t>
      </w:r>
      <w:r>
        <w:rPr>
          <w:lang w:val="en-GB"/>
        </w:rPr>
        <w:t>as illustrated in the following.</w:t>
      </w:r>
    </w:p>
    <w:tbl>
      <w:tblPr>
        <w:tblStyle w:val="TableGrid"/>
        <w:tblW w:w="0" w:type="auto"/>
        <w:tblLook w:val="04A0" w:firstRow="1" w:lastRow="0" w:firstColumn="1" w:lastColumn="0" w:noHBand="0" w:noVBand="1"/>
      </w:tblPr>
      <w:tblGrid>
        <w:gridCol w:w="3775"/>
        <w:gridCol w:w="5853"/>
      </w:tblGrid>
      <w:tr w:rsidR="00AB3786" w14:paraId="17310344" w14:textId="77777777" w:rsidTr="001F416E">
        <w:tc>
          <w:tcPr>
            <w:tcW w:w="9628" w:type="dxa"/>
            <w:gridSpan w:val="2"/>
          </w:tcPr>
          <w:p w14:paraId="62092A97" w14:textId="77777777" w:rsidR="00AB3786" w:rsidRDefault="00AB3786" w:rsidP="008802A9">
            <w:pPr>
              <w:rPr>
                <w:u w:val="single"/>
                <w:lang w:val="en-GB"/>
              </w:rPr>
            </w:pPr>
            <w:r>
              <w:rPr>
                <w:noProof/>
              </w:rPr>
              <w:drawing>
                <wp:inline distT="0" distB="0" distL="0" distR="0" wp14:anchorId="3AD2DD1E" wp14:editId="467995E6">
                  <wp:extent cx="2798064" cy="704088"/>
                  <wp:effectExtent l="0" t="0" r="254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98064" cy="704088"/>
                          </a:xfrm>
                          <a:prstGeom prst="rect">
                            <a:avLst/>
                          </a:prstGeom>
                        </pic:spPr>
                      </pic:pic>
                    </a:graphicData>
                  </a:graphic>
                </wp:inline>
              </w:drawing>
            </w:r>
          </w:p>
          <w:p w14:paraId="28E29313" w14:textId="4770543D" w:rsidR="005D1CB0" w:rsidRPr="005D1CB0" w:rsidRDefault="005D1CB0" w:rsidP="008802A9">
            <w:pPr>
              <w:rPr>
                <w:i/>
                <w:u w:val="single"/>
                <w:lang w:val="en-GB"/>
              </w:rPr>
            </w:pPr>
            <w:r>
              <w:rPr>
                <w:i/>
                <w:lang w:eastAsia="x-none"/>
              </w:rPr>
              <w:t>“</w:t>
            </w:r>
            <w:r w:rsidRPr="005D1CB0">
              <w:rPr>
                <w:i/>
                <w:lang w:eastAsia="x-none"/>
              </w:rPr>
              <w:t>Zero-padding is done for MSB</w:t>
            </w:r>
            <w:r>
              <w:rPr>
                <w:i/>
                <w:lang w:eastAsia="x-none"/>
              </w:rPr>
              <w:t>”</w:t>
            </w:r>
          </w:p>
        </w:tc>
      </w:tr>
      <w:tr w:rsidR="00AB3786" w14:paraId="1D14D814" w14:textId="77777777" w:rsidTr="000B3C3B">
        <w:tc>
          <w:tcPr>
            <w:tcW w:w="3775" w:type="dxa"/>
          </w:tcPr>
          <w:p w14:paraId="7560203A" w14:textId="77777777" w:rsidR="00AB3786" w:rsidRPr="00AB3786" w:rsidRDefault="00AB3786" w:rsidP="00AB3786">
            <w:pPr>
              <w:rPr>
                <w:lang w:val="en-GB"/>
              </w:rPr>
            </w:pPr>
            <w:r w:rsidRPr="00AB3786">
              <w:rPr>
                <w:lang w:val="en-GB"/>
              </w:rPr>
              <w:t>Literal interpretation of current agreement:</w:t>
            </w:r>
          </w:p>
          <w:p w14:paraId="63B84C1F" w14:textId="0B92F0F8" w:rsidR="00AB3786" w:rsidRDefault="00AB3786" w:rsidP="008802A9">
            <w:pPr>
              <w:rPr>
                <w:lang w:val="en-GB"/>
              </w:rPr>
            </w:pPr>
          </w:p>
        </w:tc>
        <w:tc>
          <w:tcPr>
            <w:tcW w:w="5853" w:type="dxa"/>
          </w:tcPr>
          <w:p w14:paraId="304D35C7" w14:textId="72CD0BDD" w:rsidR="00AB3786" w:rsidRDefault="008D40C5" w:rsidP="00AB3786">
            <w:pPr>
              <w:rPr>
                <w:lang w:val="en-GB"/>
              </w:rPr>
            </w:pPr>
            <w:r>
              <w:rPr>
                <w:noProof/>
              </w:rPr>
              <w:drawing>
                <wp:inline distT="0" distB="0" distL="0" distR="0" wp14:anchorId="3F4D135F" wp14:editId="424725C7">
                  <wp:extent cx="2770632" cy="1344168"/>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70632" cy="1344168"/>
                          </a:xfrm>
                          <a:prstGeom prst="rect">
                            <a:avLst/>
                          </a:prstGeom>
                        </pic:spPr>
                      </pic:pic>
                    </a:graphicData>
                  </a:graphic>
                </wp:inline>
              </w:drawing>
            </w:r>
          </w:p>
        </w:tc>
      </w:tr>
      <w:tr w:rsidR="00AB3786" w14:paraId="4D3BC97D" w14:textId="77777777" w:rsidTr="000B3C3B">
        <w:tc>
          <w:tcPr>
            <w:tcW w:w="3775" w:type="dxa"/>
          </w:tcPr>
          <w:p w14:paraId="3939B554" w14:textId="60AF55EF" w:rsidR="00AB3786" w:rsidRDefault="00AB3786" w:rsidP="008802A9">
            <w:pPr>
              <w:rPr>
                <w:noProof/>
              </w:rPr>
            </w:pPr>
            <w:r>
              <w:rPr>
                <w:noProof/>
              </w:rPr>
              <w:lastRenderedPageBreak/>
              <w:t xml:space="preserve">Intended / correct </w:t>
            </w:r>
            <w:r w:rsidR="000B3C3B">
              <w:rPr>
                <w:noProof/>
              </w:rPr>
              <w:t>interpretation</w:t>
            </w:r>
            <w:r>
              <w:rPr>
                <w:noProof/>
              </w:rPr>
              <w:t>:</w:t>
            </w:r>
          </w:p>
        </w:tc>
        <w:tc>
          <w:tcPr>
            <w:tcW w:w="5853" w:type="dxa"/>
          </w:tcPr>
          <w:p w14:paraId="75EE2CDB" w14:textId="7CBDCC9A" w:rsidR="00AB3786" w:rsidRDefault="00E1561C" w:rsidP="008802A9">
            <w:pPr>
              <w:rPr>
                <w:noProof/>
              </w:rPr>
            </w:pPr>
            <w:r>
              <w:rPr>
                <w:noProof/>
              </w:rPr>
              <w:drawing>
                <wp:inline distT="0" distB="0" distL="0" distR="0" wp14:anchorId="185F2237" wp14:editId="4A5158EB">
                  <wp:extent cx="3163824" cy="236829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63824" cy="2368296"/>
                          </a:xfrm>
                          <a:prstGeom prst="rect">
                            <a:avLst/>
                          </a:prstGeom>
                        </pic:spPr>
                      </pic:pic>
                    </a:graphicData>
                  </a:graphic>
                </wp:inline>
              </w:drawing>
            </w:r>
          </w:p>
        </w:tc>
      </w:tr>
    </w:tbl>
    <w:p w14:paraId="178E99A0" w14:textId="77777777" w:rsidR="00AB3786" w:rsidRDefault="00AB3786" w:rsidP="008802A9">
      <w:pPr>
        <w:rPr>
          <w:lang w:val="en-GB"/>
        </w:rPr>
      </w:pPr>
    </w:p>
    <w:p w14:paraId="0F570AC2" w14:textId="6224405C" w:rsidR="00AB3786" w:rsidRDefault="000B3C3B" w:rsidP="008802A9">
      <w:pPr>
        <w:rPr>
          <w:lang w:val="en-GB"/>
        </w:rPr>
      </w:pPr>
      <w:r>
        <w:rPr>
          <w:lang w:val="en-GB"/>
        </w:rPr>
        <w:t xml:space="preserve">The subtle difference between the interpretation of the current agreement and the intended interpretation is that the </w:t>
      </w:r>
      <w:r w:rsidR="0051412E">
        <w:rPr>
          <w:lang w:val="en-GB"/>
        </w:rPr>
        <w:t>T</w:t>
      </w:r>
      <w:r>
        <w:rPr>
          <w:lang w:val="en-GB"/>
        </w:rPr>
        <w:t>ype</w:t>
      </w:r>
      <w:r w:rsidR="0051412E">
        <w:rPr>
          <w:lang w:val="en-GB"/>
        </w:rPr>
        <w:t xml:space="preserve"> </w:t>
      </w:r>
      <w:r>
        <w:rPr>
          <w:lang w:val="en-GB"/>
        </w:rPr>
        <w:t>0/1 indicator bit (if configured) should be excluded from zero-padding.</w:t>
      </w:r>
    </w:p>
    <w:p w14:paraId="36895801" w14:textId="1AB32324" w:rsidR="000B3C3B" w:rsidRDefault="000B3C3B" w:rsidP="008802A9">
      <w:pPr>
        <w:rPr>
          <w:lang w:val="en-GB"/>
        </w:rPr>
      </w:pPr>
      <w:r>
        <w:rPr>
          <w:lang w:val="en-GB"/>
        </w:rPr>
        <w:t>Therefore, the following clarification to the agreement is proposed:</w:t>
      </w:r>
    </w:p>
    <w:p w14:paraId="4223D35E" w14:textId="77777777" w:rsidR="000B3C3B" w:rsidRPr="00A5427B" w:rsidRDefault="000B3C3B" w:rsidP="00296ADD">
      <w:pPr>
        <w:numPr>
          <w:ilvl w:val="0"/>
          <w:numId w:val="30"/>
        </w:numPr>
        <w:overflowPunct/>
        <w:autoSpaceDE/>
        <w:autoSpaceDN/>
        <w:adjustRightInd/>
        <w:spacing w:after="0"/>
        <w:textAlignment w:val="auto"/>
        <w:rPr>
          <w:lang w:eastAsia="x-none"/>
        </w:rPr>
      </w:pPr>
      <w:r w:rsidRPr="00A5427B">
        <w:rPr>
          <w:lang w:eastAsia="x-none"/>
        </w:rPr>
        <w:t>The truncation is done from MSB (including the bit indicating the resource allocation type)</w:t>
      </w:r>
    </w:p>
    <w:p w14:paraId="73708680" w14:textId="2689FBE5" w:rsidR="000B3C3B" w:rsidRPr="00A5427B" w:rsidRDefault="000B3C3B" w:rsidP="00296ADD">
      <w:pPr>
        <w:numPr>
          <w:ilvl w:val="0"/>
          <w:numId w:val="30"/>
        </w:numPr>
        <w:overflowPunct/>
        <w:autoSpaceDE/>
        <w:autoSpaceDN/>
        <w:adjustRightInd/>
        <w:spacing w:after="0"/>
        <w:textAlignment w:val="auto"/>
        <w:rPr>
          <w:lang w:eastAsia="x-none"/>
        </w:rPr>
      </w:pPr>
      <w:r w:rsidRPr="00A5427B">
        <w:rPr>
          <w:lang w:eastAsia="x-none"/>
        </w:rPr>
        <w:t>Zero-padding is done for MSB</w:t>
      </w:r>
      <w:r>
        <w:rPr>
          <w:lang w:eastAsia="x-none"/>
        </w:rPr>
        <w:t xml:space="preserve"> </w:t>
      </w:r>
      <w:r w:rsidRPr="000B3C3B">
        <w:rPr>
          <w:color w:val="FF0000"/>
          <w:lang w:eastAsia="x-none"/>
        </w:rPr>
        <w:t>(excluding the bit indicating the resource allocation type)</w:t>
      </w:r>
    </w:p>
    <w:p w14:paraId="23B7EDDD" w14:textId="77777777" w:rsidR="000B3C3B" w:rsidRDefault="000B3C3B" w:rsidP="008802A9">
      <w:pPr>
        <w:rPr>
          <w:lang w:val="en-GB"/>
        </w:rPr>
      </w:pPr>
    </w:p>
    <w:p w14:paraId="3F1F6D17" w14:textId="7B01D9E1" w:rsidR="000B3C3B" w:rsidRDefault="000B3C3B" w:rsidP="008802A9">
      <w:pPr>
        <w:rPr>
          <w:lang w:val="en-GB"/>
        </w:rPr>
      </w:pPr>
      <w:r>
        <w:rPr>
          <w:lang w:val="en-GB"/>
        </w:rPr>
        <w:t>With this clarification, for the case the new BWP is configured with Type 0 or Type 1 allocation, zero-padding rule works as expected. For the case the new BWP is configured with both Type</w:t>
      </w:r>
      <w:r w:rsidR="0051412E">
        <w:rPr>
          <w:lang w:val="en-GB"/>
        </w:rPr>
        <w:t xml:space="preserve"> </w:t>
      </w:r>
      <w:r>
        <w:rPr>
          <w:lang w:val="en-GB"/>
        </w:rPr>
        <w:t xml:space="preserve">0/1 allocation, specification already states that the MSB would be the </w:t>
      </w:r>
      <w:r w:rsidR="0051412E">
        <w:rPr>
          <w:lang w:val="en-GB"/>
        </w:rPr>
        <w:t>T</w:t>
      </w:r>
      <w:r>
        <w:rPr>
          <w:lang w:val="en-GB"/>
        </w:rPr>
        <w:t>ype</w:t>
      </w:r>
      <w:r w:rsidR="0051412E">
        <w:rPr>
          <w:lang w:val="en-GB"/>
        </w:rPr>
        <w:t xml:space="preserve"> </w:t>
      </w:r>
      <w:r>
        <w:rPr>
          <w:lang w:val="en-GB"/>
        </w:rPr>
        <w:t xml:space="preserve">0/1 indicator, and it is implied that allocation type indicator can be reapplied to the </w:t>
      </w:r>
      <w:r w:rsidR="009718B0">
        <w:rPr>
          <w:lang w:val="en-GB"/>
        </w:rPr>
        <w:t xml:space="preserve">new </w:t>
      </w:r>
      <w:r>
        <w:rPr>
          <w:lang w:val="en-GB"/>
        </w:rPr>
        <w:t>MSB.</w:t>
      </w:r>
    </w:p>
    <w:p w14:paraId="72A7D28A" w14:textId="5A3CD9BE" w:rsidR="00AB3786" w:rsidRDefault="000B3C3B" w:rsidP="008802A9">
      <w:pPr>
        <w:rPr>
          <w:lang w:val="en-GB"/>
        </w:rPr>
      </w:pPr>
      <w:r>
        <w:rPr>
          <w:lang w:val="en-GB"/>
        </w:rPr>
        <w:t>TP is included in the end.</w:t>
      </w:r>
    </w:p>
    <w:p w14:paraId="25B284B7" w14:textId="77777777" w:rsidR="00A5427B" w:rsidRDefault="00A5427B" w:rsidP="008802A9">
      <w:pPr>
        <w:rPr>
          <w:lang w:val="en-GB"/>
        </w:rPr>
      </w:pPr>
    </w:p>
    <w:p w14:paraId="3B792F16" w14:textId="7A032610" w:rsidR="00A5427B" w:rsidRDefault="00A003AB" w:rsidP="00A003AB">
      <w:pPr>
        <w:pStyle w:val="Heading4"/>
      </w:pPr>
      <w:r>
        <w:t xml:space="preserve">Resource allocation </w:t>
      </w:r>
      <w:r w:rsidR="000A71D0">
        <w:t>mapping</w:t>
      </w:r>
      <w:r>
        <w:t xml:space="preserve"> handling</w:t>
      </w:r>
    </w:p>
    <w:p w14:paraId="5087A8D5" w14:textId="05EAC3DA" w:rsidR="00E363CF" w:rsidRDefault="00E363CF" w:rsidP="008802A9">
      <w:pPr>
        <w:rPr>
          <w:lang w:val="en-GB"/>
        </w:rPr>
      </w:pPr>
      <w:r>
        <w:rPr>
          <w:lang w:val="en-GB"/>
        </w:rPr>
        <w:t xml:space="preserve">In case of Type 0 resource allocation, the </w:t>
      </w:r>
      <w:r w:rsidR="00EB68E6">
        <w:rPr>
          <w:lang w:val="en-GB"/>
        </w:rPr>
        <w:t>agreed</w:t>
      </w:r>
      <w:r>
        <w:rPr>
          <w:lang w:val="en-GB"/>
        </w:rPr>
        <w:t xml:space="preserve"> transformation rule </w:t>
      </w:r>
      <w:r w:rsidR="00181AB0">
        <w:rPr>
          <w:lang w:val="en-GB"/>
        </w:rPr>
        <w:t>can be applied in a straight-forward manner</w:t>
      </w:r>
      <w:r>
        <w:rPr>
          <w:lang w:val="en-GB"/>
        </w:rPr>
        <w:t xml:space="preserve">. </w:t>
      </w:r>
      <w:r w:rsidR="00181AB0">
        <w:rPr>
          <w:lang w:val="en-GB"/>
        </w:rPr>
        <w:t>The</w:t>
      </w:r>
      <w:r>
        <w:rPr>
          <w:lang w:val="en-GB"/>
        </w:rPr>
        <w:t xml:space="preserve"> extent of bitfield size mismatch should be </w:t>
      </w:r>
      <w:r w:rsidR="00C020B4">
        <w:rPr>
          <w:lang w:val="en-GB"/>
        </w:rPr>
        <w:t>less compared to Type 1 allocation</w:t>
      </w:r>
      <w:r>
        <w:rPr>
          <w:lang w:val="en-GB"/>
        </w:rPr>
        <w:t xml:space="preserve"> </w:t>
      </w:r>
      <w:r w:rsidR="00C020B4">
        <w:rPr>
          <w:lang w:val="en-GB"/>
        </w:rPr>
        <w:t xml:space="preserve">because </w:t>
      </w:r>
      <w:r>
        <w:rPr>
          <w:lang w:val="en-GB"/>
        </w:rPr>
        <w:t xml:space="preserve">RBG size </w:t>
      </w:r>
      <w:r w:rsidR="00C020B4">
        <w:rPr>
          <w:lang w:val="en-GB"/>
        </w:rPr>
        <w:t xml:space="preserve">adapts </w:t>
      </w:r>
      <w:r>
        <w:rPr>
          <w:lang w:val="en-GB"/>
        </w:rPr>
        <w:t xml:space="preserve">to bandwidth. </w:t>
      </w:r>
      <w:r w:rsidR="00D63A38">
        <w:rPr>
          <w:lang w:val="en-GB"/>
        </w:rPr>
        <w:t xml:space="preserve">For example, for Type 0 resource allocation, 17 bits is needed to allocate up to 270 RBs, and 13 bits is needed to allocate up to 25 RBs. The difference is only 4 bits, compared to 7 bits for Type 1 resource allocation. </w:t>
      </w:r>
      <w:r w:rsidR="00181AB0">
        <w:rPr>
          <w:lang w:val="en-GB"/>
        </w:rPr>
        <w:t>Also,</w:t>
      </w:r>
      <w:r>
        <w:rPr>
          <w:lang w:val="en-GB"/>
        </w:rPr>
        <w:t xml:space="preserve"> </w:t>
      </w:r>
      <w:r w:rsidR="00BD7578">
        <w:rPr>
          <w:lang w:val="en-GB"/>
        </w:rPr>
        <w:t xml:space="preserve">Type 0 resource allocation bitfield is essentially a bit-mask, with each bit indicating whether the corresponding RBG is assigned or not. Zero-padding or truncation of the bitfield </w:t>
      </w:r>
      <w:r w:rsidR="00181AB0">
        <w:rPr>
          <w:lang w:val="en-GB"/>
        </w:rPr>
        <w:t>may lead to some scheduling restrictions but not too severe</w:t>
      </w:r>
      <w:r w:rsidR="00BD7578">
        <w:rPr>
          <w:lang w:val="en-GB"/>
        </w:rPr>
        <w:t>.</w:t>
      </w:r>
    </w:p>
    <w:p w14:paraId="16EDC1AA" w14:textId="59636D89" w:rsidR="00953415" w:rsidRDefault="00BD7578" w:rsidP="000A71D0">
      <w:r>
        <w:rPr>
          <w:lang w:val="en-GB"/>
        </w:rPr>
        <w:t xml:space="preserve">In case of Type 1 resource allocation, </w:t>
      </w:r>
      <w:r w:rsidR="00CC6B1F">
        <w:rPr>
          <w:lang w:val="en-GB"/>
        </w:rPr>
        <w:t xml:space="preserve">straight-forward application of the zero-padding or truncation rule onto the RIV may lead to </w:t>
      </w:r>
      <w:r w:rsidR="00F92185">
        <w:rPr>
          <w:lang w:val="en-GB"/>
        </w:rPr>
        <w:t>undesirable</w:t>
      </w:r>
      <w:r w:rsidR="00CC6B1F">
        <w:rPr>
          <w:lang w:val="en-GB"/>
        </w:rPr>
        <w:t xml:space="preserve"> </w:t>
      </w:r>
      <w:r w:rsidR="00F92185">
        <w:rPr>
          <w:lang w:val="en-GB"/>
        </w:rPr>
        <w:t xml:space="preserve">scheduling </w:t>
      </w:r>
      <w:r w:rsidR="00CC6B1F">
        <w:rPr>
          <w:lang w:val="en-GB"/>
        </w:rPr>
        <w:t>result. There can be severe limitations on the number of PRBs that can be scheduled in the new BWP.</w:t>
      </w:r>
      <w:r w:rsidR="000A7B18" w:rsidRPr="00274E57">
        <w:t xml:space="preserve"> This issue has also been discussed in great detail</w:t>
      </w:r>
      <w:r w:rsidR="00EB68E6" w:rsidRPr="00EB68E6">
        <w:t xml:space="preserve"> </w:t>
      </w:r>
      <w:r w:rsidR="0097109D">
        <w:t xml:space="preserve">in </w:t>
      </w:r>
      <w:r w:rsidR="0097109D">
        <w:fldChar w:fldCharType="begin"/>
      </w:r>
      <w:r w:rsidR="0097109D">
        <w:instrText xml:space="preserve"> REF _Ref510329242 \r \h </w:instrText>
      </w:r>
      <w:r w:rsidR="0097109D">
        <w:fldChar w:fldCharType="separate"/>
      </w:r>
      <w:r w:rsidR="00ED57BA">
        <w:t>[6]</w:t>
      </w:r>
      <w:r w:rsidR="0097109D">
        <w:fldChar w:fldCharType="end"/>
      </w:r>
      <w:r w:rsidR="00FD33B6">
        <w:t xml:space="preserve"> and many other contributions submitted to the #92bis meeting.</w:t>
      </w:r>
    </w:p>
    <w:p w14:paraId="7DEDAB9B" w14:textId="2D09C653" w:rsidR="00CC6B1F" w:rsidRDefault="00CC6B1F" w:rsidP="00CC6B1F">
      <w:pPr>
        <w:pStyle w:val="Caption"/>
      </w:pPr>
      <w:bookmarkStart w:id="5" w:name="_Toc513834880"/>
      <w:r>
        <w:t xml:space="preserve">Observation </w:t>
      </w:r>
      <w:r w:rsidR="007552E2">
        <w:fldChar w:fldCharType="begin"/>
      </w:r>
      <w:r w:rsidR="007552E2">
        <w:instrText xml:space="preserve"> SEQ Observation \* ARABIC </w:instrText>
      </w:r>
      <w:r w:rsidR="007552E2">
        <w:fldChar w:fldCharType="separate"/>
      </w:r>
      <w:r w:rsidR="00ED57BA">
        <w:rPr>
          <w:noProof/>
        </w:rPr>
        <w:t>1</w:t>
      </w:r>
      <w:r w:rsidR="007552E2">
        <w:rPr>
          <w:noProof/>
        </w:rPr>
        <w:fldChar w:fldCharType="end"/>
      </w:r>
      <w:r>
        <w:t xml:space="preserve">: </w:t>
      </w:r>
      <w:r w:rsidR="00E34478">
        <w:t xml:space="preserve">For Type 1 allocation, straight-forward </w:t>
      </w:r>
      <w:r>
        <w:t>application of DCI bit-field truncation/zero-padding rule to frequency-domain resource allocation field would result in resource allocation limitation that can be highly undesirable.</w:t>
      </w:r>
      <w:bookmarkEnd w:id="5"/>
    </w:p>
    <w:bookmarkEnd w:id="4"/>
    <w:p w14:paraId="2FAFAD77" w14:textId="3C3629FC" w:rsidR="000A71D0" w:rsidRDefault="000A71D0" w:rsidP="001437FC">
      <w:pPr>
        <w:rPr>
          <w:lang w:val="en-GB"/>
        </w:rPr>
      </w:pPr>
      <w:r>
        <w:rPr>
          <w:lang w:val="en-GB"/>
        </w:rPr>
        <w:t>Based on discussion outcome in #92bis, it seems companies are okay with accepting the resource allocation limitation for Type 1 allocation, as the work assumption was confirmed.</w:t>
      </w:r>
    </w:p>
    <w:p w14:paraId="04F587B6" w14:textId="1F9B0DBC" w:rsidR="00B30FBB" w:rsidRDefault="00B30FBB" w:rsidP="001437FC">
      <w:pPr>
        <w:rPr>
          <w:lang w:val="en-GB"/>
        </w:rPr>
      </w:pPr>
      <w:r>
        <w:rPr>
          <w:lang w:val="en-GB"/>
        </w:rPr>
        <w:t>Our previous proposal for frequency-domain resource allocation mapping can be found in</w:t>
      </w:r>
      <w:r w:rsidR="004446AE">
        <w:rPr>
          <w:lang w:val="en-GB"/>
        </w:rPr>
        <w:t xml:space="preserve"> </w:t>
      </w:r>
      <w:r w:rsidR="004446AE">
        <w:rPr>
          <w:lang w:val="en-GB"/>
        </w:rPr>
        <w:fldChar w:fldCharType="begin"/>
      </w:r>
      <w:r w:rsidR="004446AE">
        <w:rPr>
          <w:lang w:val="en-GB"/>
        </w:rPr>
        <w:instrText xml:space="preserve"> REF _Ref510276323 \r \h </w:instrText>
      </w:r>
      <w:r w:rsidR="004446AE">
        <w:rPr>
          <w:lang w:val="en-GB"/>
        </w:rPr>
      </w:r>
      <w:r w:rsidR="004446AE">
        <w:rPr>
          <w:lang w:val="en-GB"/>
        </w:rPr>
        <w:fldChar w:fldCharType="separate"/>
      </w:r>
      <w:r w:rsidR="00ED57BA">
        <w:rPr>
          <w:lang w:val="en-GB"/>
        </w:rPr>
        <w:t>[5]</w:t>
      </w:r>
      <w:r w:rsidR="004446AE">
        <w:rPr>
          <w:lang w:val="en-GB"/>
        </w:rPr>
        <w:fldChar w:fldCharType="end"/>
      </w:r>
      <w:r w:rsidR="004446AE">
        <w:rPr>
          <w:lang w:val="en-GB"/>
        </w:rPr>
        <w:t>.</w:t>
      </w:r>
    </w:p>
    <w:p w14:paraId="53358D82" w14:textId="77777777" w:rsidR="00D517E1" w:rsidRDefault="00D517E1" w:rsidP="001437FC">
      <w:pPr>
        <w:rPr>
          <w:lang w:val="en-GB"/>
        </w:rPr>
      </w:pPr>
    </w:p>
    <w:p w14:paraId="22FAE034" w14:textId="02AB2180" w:rsidR="00B57C21" w:rsidRDefault="00B57C21" w:rsidP="00B57C21">
      <w:pPr>
        <w:pStyle w:val="Heading3"/>
      </w:pPr>
      <w:bookmarkStart w:id="6" w:name="_Ref506568464"/>
      <w:r>
        <w:lastRenderedPageBreak/>
        <w:t>Time-Domain Resource Assignment</w:t>
      </w:r>
      <w:bookmarkEnd w:id="6"/>
    </w:p>
    <w:p w14:paraId="41E174BF" w14:textId="0BA9EAF2" w:rsidR="009E2780" w:rsidRDefault="009E2780" w:rsidP="00B57C21">
      <w:pPr>
        <w:rPr>
          <w:lang w:val="en-GB"/>
        </w:rPr>
      </w:pPr>
      <w:bookmarkStart w:id="7" w:name="_Hlk506558774"/>
      <w:r>
        <w:rPr>
          <w:lang w:val="en-GB"/>
        </w:rPr>
        <w:t>The DCI transformation working assumption confirmed in #92bis generally works for the time-domain resource assignment field, but it would be good to have some more discussion and clarifications.</w:t>
      </w:r>
    </w:p>
    <w:p w14:paraId="25B14B83" w14:textId="08D7FA0F" w:rsidR="000D42B0" w:rsidRDefault="000D42B0" w:rsidP="00B57C21">
      <w:pPr>
        <w:rPr>
          <w:lang w:val="en-GB"/>
        </w:rPr>
      </w:pPr>
      <w:r>
        <w:rPr>
          <w:lang w:val="en-GB"/>
        </w:rPr>
        <w:t>(</w:t>
      </w:r>
      <w:r w:rsidRPr="00ED7634">
        <w:rPr>
          <w:i/>
          <w:lang w:val="en-GB"/>
        </w:rPr>
        <w:t>Note: the following is resubmission</w:t>
      </w:r>
      <w:r w:rsidR="00ED7634" w:rsidRPr="00ED7634">
        <w:rPr>
          <w:i/>
          <w:lang w:val="en-GB"/>
        </w:rPr>
        <w:t xml:space="preserve"> from</w:t>
      </w:r>
      <w:r w:rsidR="004446AE">
        <w:rPr>
          <w:i/>
          <w:lang w:val="en-GB"/>
        </w:rPr>
        <w:t xml:space="preserve"> </w:t>
      </w:r>
      <w:r w:rsidR="004446AE">
        <w:rPr>
          <w:lang w:val="en-GB"/>
        </w:rPr>
        <w:fldChar w:fldCharType="begin"/>
      </w:r>
      <w:r w:rsidR="004446AE">
        <w:rPr>
          <w:i/>
          <w:lang w:val="en-GB"/>
        </w:rPr>
        <w:instrText xml:space="preserve"> REF _Ref510276323 \r \h </w:instrText>
      </w:r>
      <w:r w:rsidR="004446AE">
        <w:rPr>
          <w:lang w:val="en-GB"/>
        </w:rPr>
      </w:r>
      <w:r w:rsidR="004446AE">
        <w:rPr>
          <w:lang w:val="en-GB"/>
        </w:rPr>
        <w:fldChar w:fldCharType="separate"/>
      </w:r>
      <w:r w:rsidR="00ED57BA">
        <w:rPr>
          <w:i/>
          <w:lang w:val="en-GB"/>
        </w:rPr>
        <w:t>[5]</w:t>
      </w:r>
      <w:r w:rsidR="004446AE">
        <w:rPr>
          <w:lang w:val="en-GB"/>
        </w:rPr>
        <w:fldChar w:fldCharType="end"/>
      </w:r>
      <w:r>
        <w:rPr>
          <w:lang w:val="en-GB"/>
        </w:rPr>
        <w:t>)</w:t>
      </w:r>
    </w:p>
    <w:p w14:paraId="7A30DF92" w14:textId="134DA2A9" w:rsidR="00B57C21" w:rsidRDefault="00427AA7" w:rsidP="00B57C21">
      <w:pPr>
        <w:rPr>
          <w:lang w:val="en-GB"/>
        </w:rPr>
      </w:pPr>
      <w:r>
        <w:rPr>
          <w:lang w:val="en-GB"/>
        </w:rPr>
        <w:t xml:space="preserve">In current specification TS 38.214 </w:t>
      </w:r>
      <w:r>
        <w:rPr>
          <w:lang w:val="en-GB"/>
        </w:rPr>
        <w:fldChar w:fldCharType="begin"/>
      </w:r>
      <w:r>
        <w:rPr>
          <w:lang w:val="en-GB"/>
        </w:rPr>
        <w:instrText xml:space="preserve"> REF _Ref506514750 \r \h </w:instrText>
      </w:r>
      <w:r>
        <w:rPr>
          <w:lang w:val="en-GB"/>
        </w:rPr>
      </w:r>
      <w:r>
        <w:rPr>
          <w:lang w:val="en-GB"/>
        </w:rPr>
        <w:fldChar w:fldCharType="separate"/>
      </w:r>
      <w:r w:rsidR="00ED57BA">
        <w:rPr>
          <w:lang w:val="en-GB"/>
        </w:rPr>
        <w:t>[2]</w:t>
      </w:r>
      <w:r>
        <w:rPr>
          <w:lang w:val="en-GB"/>
        </w:rPr>
        <w:fldChar w:fldCharType="end"/>
      </w:r>
      <w:r>
        <w:rPr>
          <w:lang w:val="en-GB"/>
        </w:rPr>
        <w:t>, the following are the descriptions on the time-domain resource assignment field:</w:t>
      </w:r>
    </w:p>
    <w:p w14:paraId="469A74CB" w14:textId="02DAC753" w:rsidR="00427AA7" w:rsidRDefault="00427AA7" w:rsidP="00B57C21">
      <w:pPr>
        <w:rPr>
          <w:lang w:val="en-GB"/>
        </w:rPr>
      </w:pPr>
      <w:r>
        <w:rPr>
          <w:lang w:val="en-GB"/>
        </w:rPr>
        <w:t>Section 5.1.2.1:</w:t>
      </w:r>
    </w:p>
    <w:p w14:paraId="738413FF" w14:textId="021C1D85" w:rsidR="00427AA7" w:rsidRPr="00427AA7" w:rsidRDefault="00427AA7" w:rsidP="00B57C21">
      <w:pPr>
        <w:rPr>
          <w:i/>
          <w:lang w:val="en-GB"/>
        </w:rPr>
      </w:pPr>
      <w:r w:rsidRPr="00427AA7">
        <w:rPr>
          <w:i/>
          <w:color w:val="000000"/>
        </w:rPr>
        <w:t xml:space="preserve">When the UE is scheduled to receive PDSCH by a DCI, the Time domain resource assignment field of the DCI provides a row index of </w:t>
      </w:r>
      <w:r w:rsidR="00725879">
        <w:rPr>
          <w:i/>
          <w:color w:val="000000"/>
        </w:rPr>
        <w:t>a higher layer configured</w:t>
      </w:r>
      <w:r w:rsidRPr="00427AA7">
        <w:rPr>
          <w:i/>
          <w:color w:val="000000"/>
        </w:rPr>
        <w:t xml:space="preserve"> table </w:t>
      </w:r>
      <w:proofErr w:type="spellStart"/>
      <w:r w:rsidRPr="00427AA7">
        <w:rPr>
          <w:i/>
          <w:color w:val="000000"/>
        </w:rPr>
        <w:t>pdsch-symbolAllocation</w:t>
      </w:r>
      <w:proofErr w:type="spellEnd"/>
      <w:r w:rsidRPr="00427AA7">
        <w:rPr>
          <w:i/>
          <w:color w:val="000000"/>
        </w:rPr>
        <w:t>, where the indexed row defines the slot offset K</w:t>
      </w:r>
      <w:r w:rsidRPr="00427AA7">
        <w:rPr>
          <w:i/>
          <w:color w:val="000000"/>
          <w:vertAlign w:val="subscript"/>
        </w:rPr>
        <w:t>0</w:t>
      </w:r>
      <w:r w:rsidRPr="00427AA7">
        <w:rPr>
          <w:i/>
          <w:color w:val="000000"/>
        </w:rPr>
        <w:t>, the start and length indicator SLIV, and the PDSCH mapping type to be assumed in the PDSCH reception.</w:t>
      </w:r>
    </w:p>
    <w:p w14:paraId="6995A51C" w14:textId="5C05E654" w:rsidR="00427AA7" w:rsidRDefault="00427AA7" w:rsidP="00B57C21">
      <w:pPr>
        <w:rPr>
          <w:lang w:val="en-GB"/>
        </w:rPr>
      </w:pPr>
      <w:r>
        <w:rPr>
          <w:lang w:val="en-GB"/>
        </w:rPr>
        <w:t>Section 6.1.2.1:</w:t>
      </w:r>
    </w:p>
    <w:p w14:paraId="344E35DC" w14:textId="3CB8A7B4" w:rsidR="00427AA7" w:rsidRPr="00427AA7" w:rsidRDefault="00427AA7" w:rsidP="00B57C21">
      <w:pPr>
        <w:rPr>
          <w:i/>
          <w:lang w:val="en-GB"/>
        </w:rPr>
      </w:pPr>
      <w:r w:rsidRPr="00427AA7">
        <w:rPr>
          <w:i/>
          <w:color w:val="000000"/>
        </w:rPr>
        <w:t xml:space="preserve">When the UE is scheduled to transmit a </w:t>
      </w:r>
      <w:r w:rsidR="00AA746D" w:rsidRPr="00AA746D">
        <w:rPr>
          <w:i/>
          <w:color w:val="000000"/>
        </w:rPr>
        <w:t>transport block and no CSI report, or the UE is scheduled to transmit a transport block and a CSI report on PUSCH by a DCI</w:t>
      </w:r>
      <w:r w:rsidRPr="00427AA7">
        <w:rPr>
          <w:i/>
          <w:color w:val="000000"/>
        </w:rPr>
        <w:t xml:space="preserve">, the Time domain resource assignment field of the DCI provides a row index of an RRC configured table </w:t>
      </w:r>
      <w:proofErr w:type="spellStart"/>
      <w:r w:rsidRPr="00427AA7">
        <w:rPr>
          <w:i/>
          <w:color w:val="000000"/>
        </w:rPr>
        <w:t>pusch-symbolAllocation</w:t>
      </w:r>
      <w:proofErr w:type="spellEnd"/>
      <w:r w:rsidRPr="00427AA7">
        <w:rPr>
          <w:i/>
          <w:color w:val="000000"/>
        </w:rPr>
        <w:t>, where the indexed row defines the slot offset K</w:t>
      </w:r>
      <w:r w:rsidRPr="00427AA7">
        <w:rPr>
          <w:i/>
          <w:color w:val="000000"/>
          <w:vertAlign w:val="subscript"/>
        </w:rPr>
        <w:t>2</w:t>
      </w:r>
      <w:r w:rsidRPr="00427AA7">
        <w:rPr>
          <w:i/>
          <w:color w:val="000000"/>
        </w:rPr>
        <w:t>, the start and length indicator SLIV, and the PUSCH mapping type to be applied in the PUSCH transmission.</w:t>
      </w:r>
    </w:p>
    <w:bookmarkEnd w:id="7"/>
    <w:p w14:paraId="0D2096C8" w14:textId="5D74BADE" w:rsidR="0088338B" w:rsidRDefault="0088338B" w:rsidP="0088338B">
      <w:pPr>
        <w:rPr>
          <w:lang w:val="en-GB"/>
        </w:rPr>
      </w:pPr>
    </w:p>
    <w:p w14:paraId="6231C371" w14:textId="729167C5" w:rsidR="002F06A8" w:rsidRDefault="00F11086" w:rsidP="0088338B">
      <w:pPr>
        <w:rPr>
          <w:lang w:val="en-GB"/>
        </w:rPr>
      </w:pPr>
      <w:r>
        <w:t>The DCI field transformation rule states “</w:t>
      </w:r>
      <w:r w:rsidRPr="007D2C03">
        <w:t>apply zero-padding/truncation to the field prior to interpreting the information fields for the new BWP</w:t>
      </w:r>
      <w:r>
        <w:t xml:space="preserve">.” </w:t>
      </w:r>
      <w:r w:rsidR="00245AF4">
        <w:rPr>
          <w:lang w:val="en-GB"/>
        </w:rPr>
        <w:t>For cross-BWP scheduling that triggers BWP switch, there are at least two important questions to be resolved:</w:t>
      </w:r>
    </w:p>
    <w:p w14:paraId="4BC21FCA" w14:textId="034C6BC1" w:rsidR="00245AF4" w:rsidRDefault="00245AF4" w:rsidP="001575A7">
      <w:pPr>
        <w:pStyle w:val="ListParagraph"/>
        <w:numPr>
          <w:ilvl w:val="0"/>
          <w:numId w:val="21"/>
        </w:numPr>
      </w:pPr>
      <w:r>
        <w:t>Because the tables are BWP-specific, which BWP’s table should be used: current BWP or new BWP?</w:t>
      </w:r>
    </w:p>
    <w:p w14:paraId="41CA704F" w14:textId="4CE8601D" w:rsidR="002F06A8" w:rsidRDefault="00245AF4" w:rsidP="001575A7">
      <w:pPr>
        <w:pStyle w:val="ListParagraph"/>
        <w:numPr>
          <w:ilvl w:val="0"/>
          <w:numId w:val="21"/>
        </w:numPr>
      </w:pPr>
      <w:r>
        <w:t>In case the current BWP and new BWP have different numerology, which numerology should be used for k0 or k2 interpretation?</w:t>
      </w:r>
    </w:p>
    <w:p w14:paraId="3DC62AB9" w14:textId="59C8C089" w:rsidR="001F676A" w:rsidRDefault="007D2C03" w:rsidP="007D2C03">
      <w:r>
        <w:t xml:space="preserve">For time-domain resource allocation, the field is essentially an index to the </w:t>
      </w:r>
      <w:proofErr w:type="spellStart"/>
      <w:r>
        <w:t>pdsch-symbolAllocation</w:t>
      </w:r>
      <w:proofErr w:type="spellEnd"/>
      <w:r>
        <w:t xml:space="preserve"> or </w:t>
      </w:r>
      <w:proofErr w:type="spellStart"/>
      <w:r>
        <w:t>pusch-symbolAllocation</w:t>
      </w:r>
      <w:proofErr w:type="spellEnd"/>
      <w:r>
        <w:t xml:space="preserve"> table, depending on whether the DCI is Format 1-1 or 0-1 respectively. Despite some ambiguity in whether “interpreting the information fields for the new BWP” means using the new BWP’s table, our view is that the new BWP’s table should be used. The time-domain RA field is sized based on the current BWP, and it is sized (from 0 up to 5 bits) just enough to make all of the rows in the current BWP’s table addressable. </w:t>
      </w:r>
      <w:r w:rsidR="001F676A">
        <w:t>For cross-BWP scheduling, there are 3 cases to consider: the new BWP’s table may require (</w:t>
      </w:r>
      <w:proofErr w:type="spellStart"/>
      <w:r w:rsidR="001F676A">
        <w:t>i</w:t>
      </w:r>
      <w:proofErr w:type="spellEnd"/>
      <w:r w:rsidR="001F676A">
        <w:t xml:space="preserve">) more bits, (ii) fewer bits, or (iii) same number of bits for indexing into the new BWP’s table. In the case the field contains too few bits for the new BWP’s table (Case </w:t>
      </w:r>
      <w:proofErr w:type="spellStart"/>
      <w:r w:rsidR="001F676A">
        <w:t>i</w:t>
      </w:r>
      <w:proofErr w:type="spellEnd"/>
      <w:r w:rsidR="001F676A">
        <w:t xml:space="preserve">), only a subset of the rows in the table can be addressed. In the case the field contains too many bits (Case ii), some bits are not necessary and can be truncated. It can be further proposed that for Case </w:t>
      </w:r>
      <w:proofErr w:type="spellStart"/>
      <w:r w:rsidR="001F676A">
        <w:t>i</w:t>
      </w:r>
      <w:proofErr w:type="spellEnd"/>
      <w:r w:rsidR="001F676A">
        <w:t>, the addressable rows start from the lowest indexed row (i.e. the 1</w:t>
      </w:r>
      <w:r w:rsidR="001F676A" w:rsidRPr="001F676A">
        <w:rPr>
          <w:vertAlign w:val="superscript"/>
        </w:rPr>
        <w:t>st</w:t>
      </w:r>
      <w:r w:rsidR="001F676A">
        <w:t xml:space="preserve"> row) in the table. For example, if the field has 2 bits, and the new BWP’s table has 8 rows, only the </w:t>
      </w:r>
      <w:r w:rsidR="00923C0D">
        <w:t>1</w:t>
      </w:r>
      <w:r w:rsidR="00923C0D" w:rsidRPr="00923C0D">
        <w:rPr>
          <w:vertAlign w:val="superscript"/>
        </w:rPr>
        <w:t>st</w:t>
      </w:r>
      <w:r w:rsidR="001F676A">
        <w:t>, 2</w:t>
      </w:r>
      <w:r w:rsidR="001F676A" w:rsidRPr="001F676A">
        <w:rPr>
          <w:vertAlign w:val="superscript"/>
        </w:rPr>
        <w:t>nd</w:t>
      </w:r>
      <w:r w:rsidR="001F676A">
        <w:t>, 3</w:t>
      </w:r>
      <w:r w:rsidR="001F676A" w:rsidRPr="001F676A">
        <w:rPr>
          <w:vertAlign w:val="superscript"/>
        </w:rPr>
        <w:t>rd</w:t>
      </w:r>
      <w:r w:rsidR="001F676A">
        <w:t>, and 4</w:t>
      </w:r>
      <w:r w:rsidR="001F676A" w:rsidRPr="001F676A">
        <w:rPr>
          <w:vertAlign w:val="superscript"/>
        </w:rPr>
        <w:t>th</w:t>
      </w:r>
      <w:r w:rsidR="001F676A">
        <w:t xml:space="preserve"> row can be addressed, and the remaining rows are not addressable. For Case ii, </w:t>
      </w:r>
      <w:r w:rsidR="00A831FB">
        <w:t>the truncation starts from the MSB. For example, if the field has 3 bits, and the new BWP’s table has 4 rows, the MSB bit can be truncated, and the lower 2 bits is used to address one of the four rows in the table.</w:t>
      </w:r>
    </w:p>
    <w:p w14:paraId="75DEF111" w14:textId="66F21989" w:rsidR="00F11086" w:rsidRDefault="00F11086" w:rsidP="00C32157">
      <w:pPr>
        <w:rPr>
          <w:lang w:val="en-GB"/>
        </w:rPr>
      </w:pPr>
      <w:r>
        <w:rPr>
          <w:lang w:val="en-GB"/>
        </w:rPr>
        <w:t>For the second question, consideration needs to be given to cross-carrier scheduling. It had been agreed that the numerology for k0 or k2 in the case of cross-carrier scheduling between CC with different numerology would be based on the scheduled carrier. To achieve consistency between BWP and CA, the new BWP’s numerology should be used for k0 or k2 interpretation.</w:t>
      </w:r>
    </w:p>
    <w:p w14:paraId="70CA9A59" w14:textId="338ADE86" w:rsidR="00F11086" w:rsidRDefault="00BA77D9" w:rsidP="00BA77D9">
      <w:pPr>
        <w:pStyle w:val="Caption"/>
      </w:pPr>
      <w:bookmarkStart w:id="8" w:name="_Toc513834886"/>
      <w:r>
        <w:t xml:space="preserve">Proposal </w:t>
      </w:r>
      <w:r w:rsidR="007552E2">
        <w:fldChar w:fldCharType="begin"/>
      </w:r>
      <w:r w:rsidR="007552E2">
        <w:instrText xml:space="preserve"> SEQ Proposal \* ARABIC </w:instrText>
      </w:r>
      <w:r w:rsidR="007552E2">
        <w:fldChar w:fldCharType="separate"/>
      </w:r>
      <w:r w:rsidR="00ED57BA">
        <w:rPr>
          <w:noProof/>
        </w:rPr>
        <w:t>2</w:t>
      </w:r>
      <w:r w:rsidR="007552E2">
        <w:rPr>
          <w:noProof/>
        </w:rPr>
        <w:fldChar w:fldCharType="end"/>
      </w:r>
      <w:r w:rsidR="00F80CAD">
        <w:t>: For cross-BWP scheduling, time-domain resource allocation field size is determined based on current BWP, and the new BWP’s table (</w:t>
      </w:r>
      <w:proofErr w:type="spellStart"/>
      <w:r w:rsidR="00F80CAD">
        <w:t>pdsch-symbolAllocation</w:t>
      </w:r>
      <w:proofErr w:type="spellEnd"/>
      <w:r w:rsidR="00F80CAD">
        <w:t xml:space="preserve"> or </w:t>
      </w:r>
      <w:proofErr w:type="spellStart"/>
      <w:r w:rsidR="00F80CAD">
        <w:t>pusch-symbolAllocation</w:t>
      </w:r>
      <w:proofErr w:type="spellEnd"/>
      <w:r w:rsidR="00F80CAD">
        <w:t>) is used.</w:t>
      </w:r>
      <w:bookmarkEnd w:id="8"/>
    </w:p>
    <w:p w14:paraId="531EC4BE" w14:textId="77777777" w:rsidR="007552E2" w:rsidRDefault="007552E2" w:rsidP="00A54E1E">
      <w:pPr>
        <w:pStyle w:val="Caption"/>
      </w:pPr>
    </w:p>
    <w:p w14:paraId="70001FE8" w14:textId="54DEE602" w:rsidR="00A54E1E" w:rsidRDefault="00A54E1E" w:rsidP="00A54E1E">
      <w:pPr>
        <w:pStyle w:val="Caption"/>
      </w:pPr>
      <w:bookmarkStart w:id="9" w:name="_Toc513834881"/>
      <w:r>
        <w:t xml:space="preserve">Observation </w:t>
      </w:r>
      <w:r w:rsidR="007552E2">
        <w:fldChar w:fldCharType="begin"/>
      </w:r>
      <w:r w:rsidR="007552E2">
        <w:instrText xml:space="preserve"> SEQ Observation \* ARABIC </w:instrText>
      </w:r>
      <w:r w:rsidR="007552E2">
        <w:fldChar w:fldCharType="separate"/>
      </w:r>
      <w:r w:rsidR="00ED57BA">
        <w:rPr>
          <w:noProof/>
        </w:rPr>
        <w:t>2</w:t>
      </w:r>
      <w:r w:rsidR="007552E2">
        <w:rPr>
          <w:noProof/>
        </w:rPr>
        <w:fldChar w:fldCharType="end"/>
      </w:r>
      <w:r>
        <w:t>: Applying the DCI field transformation rule, when the number of bits in the time-domain resource allocation field is not sufficient to address all the rows in the new BWP’s table, UE expects only the lower-indexed rows, i.e. starting from the first row, can be addressed.</w:t>
      </w:r>
      <w:bookmarkEnd w:id="9"/>
    </w:p>
    <w:p w14:paraId="74C0EFE1" w14:textId="185E9148" w:rsidR="00A54E1E" w:rsidRPr="00A54E1E" w:rsidRDefault="00A54E1E" w:rsidP="00A54E1E">
      <w:pPr>
        <w:pStyle w:val="Caption"/>
      </w:pPr>
      <w:bookmarkStart w:id="10" w:name="_Toc513834882"/>
      <w:r>
        <w:t xml:space="preserve">Observation </w:t>
      </w:r>
      <w:r w:rsidR="007552E2">
        <w:fldChar w:fldCharType="begin"/>
      </w:r>
      <w:r w:rsidR="007552E2">
        <w:instrText xml:space="preserve"> SEQ Observation \* ARABIC </w:instrText>
      </w:r>
      <w:r w:rsidR="007552E2">
        <w:fldChar w:fldCharType="separate"/>
      </w:r>
      <w:r w:rsidR="00ED57BA">
        <w:rPr>
          <w:noProof/>
        </w:rPr>
        <w:t>3</w:t>
      </w:r>
      <w:r w:rsidR="007552E2">
        <w:rPr>
          <w:noProof/>
        </w:rPr>
        <w:fldChar w:fldCharType="end"/>
      </w:r>
      <w:r>
        <w:t>: Applying the DCI field transformation rule, when the number of bits in the time-domain resource allocation field contain too many bits for the new BWP’s table, UE expects that only the lower bits are used to sufficiently address all rows in the new BWP’s table.</w:t>
      </w:r>
      <w:bookmarkEnd w:id="10"/>
    </w:p>
    <w:p w14:paraId="251642F4" w14:textId="680E9792" w:rsidR="00F80CAD" w:rsidRPr="00F80CAD" w:rsidRDefault="00F80CAD" w:rsidP="00F80CAD">
      <w:pPr>
        <w:pStyle w:val="Caption"/>
      </w:pPr>
    </w:p>
    <w:p w14:paraId="7486C323" w14:textId="3C90BE37" w:rsidR="00A831FB" w:rsidRDefault="00F80CAD" w:rsidP="00F80CAD">
      <w:pPr>
        <w:pStyle w:val="Caption"/>
        <w:rPr>
          <w:lang w:val="en-GB"/>
        </w:rPr>
      </w:pPr>
      <w:bookmarkStart w:id="11" w:name="_Toc513834887"/>
      <w:r>
        <w:lastRenderedPageBreak/>
        <w:t xml:space="preserve">Proposal </w:t>
      </w:r>
      <w:r w:rsidR="007552E2">
        <w:fldChar w:fldCharType="begin"/>
      </w:r>
      <w:r w:rsidR="007552E2">
        <w:instrText xml:space="preserve"> SEQ Proposal \* ARABIC </w:instrText>
      </w:r>
      <w:r w:rsidR="007552E2">
        <w:fldChar w:fldCharType="separate"/>
      </w:r>
      <w:r w:rsidR="00ED57BA">
        <w:rPr>
          <w:noProof/>
        </w:rPr>
        <w:t>3</w:t>
      </w:r>
      <w:r w:rsidR="007552E2">
        <w:rPr>
          <w:noProof/>
        </w:rPr>
        <w:fldChar w:fldCharType="end"/>
      </w:r>
      <w:r>
        <w:t>: For cross-BWP scheduling and in case the BWPs have different numerology, the new BWP’s numerology is used for interpretation of k0 or k2</w:t>
      </w:r>
      <w:r w:rsidR="00BB24C8">
        <w:t xml:space="preserve"> (for DCI Format 1-1 or 0-1 respectively).</w:t>
      </w:r>
      <w:bookmarkEnd w:id="11"/>
    </w:p>
    <w:p w14:paraId="4A4765B6" w14:textId="55D3CA4E" w:rsidR="00F80CAD" w:rsidRDefault="00F80CAD" w:rsidP="00C32157">
      <w:pPr>
        <w:rPr>
          <w:lang w:val="en-GB"/>
        </w:rPr>
      </w:pPr>
    </w:p>
    <w:p w14:paraId="05D1D00C" w14:textId="4F54CAC9" w:rsidR="00FF0967" w:rsidRDefault="00C11321" w:rsidP="00C32157">
      <w:pPr>
        <w:rPr>
          <w:lang w:val="en-GB"/>
        </w:rPr>
      </w:pPr>
      <w:r>
        <w:rPr>
          <w:lang w:val="en-GB"/>
        </w:rPr>
        <w:t xml:space="preserve">In RAN1 #92, it was decided that k0 or k2 indicated by BWP switch DCI also accommodates BWP switching delay </w:t>
      </w:r>
      <w:r>
        <w:rPr>
          <w:lang w:val="en-GB"/>
        </w:rPr>
        <w:fldChar w:fldCharType="begin"/>
      </w:r>
      <w:r>
        <w:rPr>
          <w:lang w:val="en-GB"/>
        </w:rPr>
        <w:instrText xml:space="preserve"> REF _Ref510358192 \r \h </w:instrText>
      </w:r>
      <w:r>
        <w:rPr>
          <w:lang w:val="en-GB"/>
        </w:rPr>
      </w:r>
      <w:r>
        <w:rPr>
          <w:lang w:val="en-GB"/>
        </w:rPr>
        <w:fldChar w:fldCharType="separate"/>
      </w:r>
      <w:r w:rsidR="00ED57BA">
        <w:rPr>
          <w:lang w:val="en-GB"/>
        </w:rPr>
        <w:t>[7]</w:t>
      </w:r>
      <w:r>
        <w:rPr>
          <w:lang w:val="en-GB"/>
        </w:rPr>
        <w:fldChar w:fldCharType="end"/>
      </w:r>
      <w:r>
        <w:rPr>
          <w:lang w:val="en-GB"/>
        </w:rPr>
        <w:t>. In the following example,</w:t>
      </w:r>
      <w:r w:rsidR="00FF0967">
        <w:rPr>
          <w:lang w:val="en-GB"/>
        </w:rPr>
        <w:t xml:space="preserve"> k0 management is illustrated; k2 can be managed in a similar way.</w:t>
      </w:r>
    </w:p>
    <w:p w14:paraId="2E9A5EF0" w14:textId="5BC957CC" w:rsidR="00E835C0" w:rsidRDefault="00FF0967" w:rsidP="00C32157">
      <w:pPr>
        <w:rPr>
          <w:lang w:val="en-GB"/>
        </w:rPr>
      </w:pPr>
      <w:r>
        <w:rPr>
          <w:lang w:val="en-GB"/>
        </w:rPr>
        <w:t xml:space="preserve">Suppose there are </w:t>
      </w:r>
      <w:r w:rsidR="00E55E5D">
        <w:rPr>
          <w:lang w:val="en-GB"/>
        </w:rPr>
        <w:t>3</w:t>
      </w:r>
      <w:r>
        <w:rPr>
          <w:lang w:val="en-GB"/>
        </w:rPr>
        <w:t xml:space="preserve"> BWP configurations with different minimum k0. One of them is intended for operating the UE in lower power mode with cross-slot scheduling only, and the other one optimized for low latency data with same-slot scheduling.</w:t>
      </w:r>
      <w:r w:rsidR="00591A92">
        <w:rPr>
          <w:lang w:val="en-GB"/>
        </w:rPr>
        <w:t xml:space="preserve"> Also, there is a default BWP with narrow BW configuration.</w:t>
      </w:r>
    </w:p>
    <w:p w14:paraId="40E3C552" w14:textId="36AADF8B" w:rsidR="00A77DCC" w:rsidRDefault="00A77DCC" w:rsidP="00C32157">
      <w:pPr>
        <w:rPr>
          <w:lang w:val="en-GB"/>
        </w:rPr>
      </w:pPr>
      <w:r>
        <w:rPr>
          <w:lang w:val="en-GB"/>
        </w:rPr>
        <w:t>Suppose the following BWP transition time need to be supported:</w:t>
      </w:r>
    </w:p>
    <w:p w14:paraId="544EBA07" w14:textId="7563FEA5" w:rsidR="00A77DCC" w:rsidRDefault="00A77DCC" w:rsidP="001575A7">
      <w:pPr>
        <w:pStyle w:val="ListParagraph"/>
        <w:numPr>
          <w:ilvl w:val="0"/>
          <w:numId w:val="23"/>
        </w:numPr>
      </w:pPr>
      <w:r>
        <w:t>BW adaptation between narrow and wide: 2 slots</w:t>
      </w:r>
    </w:p>
    <w:p w14:paraId="182CF236" w14:textId="101D1E95" w:rsidR="00A77DCC" w:rsidRPr="00A77DCC" w:rsidRDefault="00A77DCC" w:rsidP="001575A7">
      <w:pPr>
        <w:pStyle w:val="ListParagraph"/>
        <w:numPr>
          <w:ilvl w:val="0"/>
          <w:numId w:val="23"/>
        </w:numPr>
      </w:pPr>
      <w:r>
        <w:t xml:space="preserve">Same BW and </w:t>
      </w:r>
      <w:proofErr w:type="spellStart"/>
      <w:r>
        <w:t>center</w:t>
      </w:r>
      <w:proofErr w:type="spellEnd"/>
      <w:r>
        <w:t xml:space="preserve"> frequency but with baseband parameter change only: 1 slot</w:t>
      </w:r>
    </w:p>
    <w:p w14:paraId="023FC28F" w14:textId="77777777" w:rsidR="000B55FD" w:rsidRDefault="000B55FD" w:rsidP="00C32157">
      <w:pPr>
        <w:rPr>
          <w:lang w:val="en-GB"/>
        </w:rPr>
      </w:pPr>
    </w:p>
    <w:p w14:paraId="3140D321" w14:textId="1857FADE" w:rsidR="00FF0967" w:rsidRDefault="00FF0967" w:rsidP="00C32157">
      <w:pPr>
        <w:rPr>
          <w:lang w:val="en-GB"/>
        </w:rPr>
      </w:pPr>
      <w:r>
        <w:rPr>
          <w:lang w:val="en-GB"/>
        </w:rPr>
        <w:t xml:space="preserve">The BWP are configured with the following </w:t>
      </w:r>
      <w:proofErr w:type="spellStart"/>
      <w:r>
        <w:rPr>
          <w:lang w:val="en-GB"/>
        </w:rPr>
        <w:t>pdsch-symbolAllocation</w:t>
      </w:r>
      <w:proofErr w:type="spellEnd"/>
      <w:r>
        <w:rPr>
          <w:lang w:val="en-GB"/>
        </w:rPr>
        <w:t xml:space="preserve"> entries (only k0 is shown, assuming SLIV and PDSCH type are not the differentiators):</w:t>
      </w:r>
    </w:p>
    <w:p w14:paraId="2F026188" w14:textId="5491AF27" w:rsidR="007A238B" w:rsidRDefault="00D01640" w:rsidP="00947DA4">
      <w:pPr>
        <w:jc w:val="center"/>
        <w:rPr>
          <w:lang w:val="en-GB"/>
        </w:rPr>
      </w:pPr>
      <w:r w:rsidRPr="00D01640">
        <w:rPr>
          <w:noProof/>
        </w:rPr>
        <w:drawing>
          <wp:inline distT="0" distB="0" distL="0" distR="0" wp14:anchorId="73F941DB" wp14:editId="61C5263F">
            <wp:extent cx="3502152" cy="2276856"/>
            <wp:effectExtent l="0" t="0" r="317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02152" cy="2276856"/>
                    </a:xfrm>
                    <a:prstGeom prst="rect">
                      <a:avLst/>
                    </a:prstGeom>
                  </pic:spPr>
                </pic:pic>
              </a:graphicData>
            </a:graphic>
          </wp:inline>
        </w:drawing>
      </w:r>
    </w:p>
    <w:p w14:paraId="432AB266" w14:textId="63593007" w:rsidR="00E835C0" w:rsidRDefault="00A77DCC" w:rsidP="00C32157">
      <w:pPr>
        <w:rPr>
          <w:lang w:val="en-GB"/>
        </w:rPr>
      </w:pPr>
      <w:r>
        <w:rPr>
          <w:lang w:val="en-GB"/>
        </w:rPr>
        <w:t>The following BWP transitions are illustrated: BWP</w:t>
      </w:r>
      <w:r w:rsidR="000B55FD">
        <w:rPr>
          <w:lang w:val="en-GB"/>
        </w:rPr>
        <w:t>0</w:t>
      </w:r>
      <w:r>
        <w:rPr>
          <w:lang w:val="en-GB"/>
        </w:rPr>
        <w:t xml:space="preserve"> </w:t>
      </w:r>
      <w:r w:rsidRPr="00A77DCC">
        <w:rPr>
          <w:lang w:val="en-GB"/>
        </w:rPr>
        <w:sym w:font="Wingdings" w:char="F0E0"/>
      </w:r>
      <w:r>
        <w:rPr>
          <w:lang w:val="en-GB"/>
        </w:rPr>
        <w:t xml:space="preserve"> BWP</w:t>
      </w:r>
      <w:r w:rsidR="000B55FD">
        <w:rPr>
          <w:lang w:val="en-GB"/>
        </w:rPr>
        <w:t>1</w:t>
      </w:r>
      <w:r>
        <w:rPr>
          <w:lang w:val="en-GB"/>
        </w:rPr>
        <w:t xml:space="preserve"> </w:t>
      </w:r>
      <w:r w:rsidRPr="00A77DCC">
        <w:rPr>
          <w:lang w:val="en-GB"/>
        </w:rPr>
        <w:sym w:font="Wingdings" w:char="F0E0"/>
      </w:r>
      <w:r>
        <w:rPr>
          <w:lang w:val="en-GB"/>
        </w:rPr>
        <w:t xml:space="preserve"> BWP</w:t>
      </w:r>
      <w:r w:rsidR="000B55FD">
        <w:rPr>
          <w:lang w:val="en-GB"/>
        </w:rPr>
        <w:t>2</w:t>
      </w:r>
      <w:r>
        <w:rPr>
          <w:lang w:val="en-GB"/>
        </w:rPr>
        <w:t xml:space="preserve"> </w:t>
      </w:r>
      <w:r w:rsidRPr="00A77DCC">
        <w:rPr>
          <w:lang w:val="en-GB"/>
        </w:rPr>
        <w:sym w:font="Wingdings" w:char="F0E0"/>
      </w:r>
      <w:r>
        <w:rPr>
          <w:lang w:val="en-GB"/>
        </w:rPr>
        <w:t xml:space="preserve"> BWP</w:t>
      </w:r>
      <w:r w:rsidR="000B55FD">
        <w:rPr>
          <w:lang w:val="en-GB"/>
        </w:rPr>
        <w:t>0</w:t>
      </w:r>
      <w:r w:rsidR="00947DA4">
        <w:rPr>
          <w:lang w:val="en-GB"/>
        </w:rPr>
        <w:t>:</w:t>
      </w:r>
    </w:p>
    <w:p w14:paraId="67F654D9" w14:textId="36CD697F" w:rsidR="00A77DCC" w:rsidRDefault="003861FA" w:rsidP="00947DA4">
      <w:pPr>
        <w:jc w:val="center"/>
        <w:rPr>
          <w:lang w:val="en-GB"/>
        </w:rPr>
      </w:pPr>
      <w:r w:rsidRPr="003861FA">
        <w:rPr>
          <w:noProof/>
        </w:rPr>
        <w:drawing>
          <wp:inline distT="0" distB="0" distL="0" distR="0" wp14:anchorId="0155058E" wp14:editId="0F09BD3F">
            <wp:extent cx="4873752" cy="1444752"/>
            <wp:effectExtent l="0" t="0" r="317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73752" cy="1444752"/>
                    </a:xfrm>
                    <a:prstGeom prst="rect">
                      <a:avLst/>
                    </a:prstGeom>
                  </pic:spPr>
                </pic:pic>
              </a:graphicData>
            </a:graphic>
          </wp:inline>
        </w:drawing>
      </w:r>
    </w:p>
    <w:p w14:paraId="56CF77D0" w14:textId="77777777" w:rsidR="00591A92" w:rsidRDefault="00591A92" w:rsidP="00C32157">
      <w:pPr>
        <w:rPr>
          <w:lang w:val="en-GB"/>
        </w:rPr>
      </w:pPr>
    </w:p>
    <w:p w14:paraId="2FEF77EE" w14:textId="3FD2F01E" w:rsidR="00FB4D00" w:rsidRDefault="00FB4D00" w:rsidP="00C32157">
      <w:pPr>
        <w:rPr>
          <w:lang w:val="en-GB"/>
        </w:rPr>
      </w:pPr>
      <w:r>
        <w:rPr>
          <w:lang w:val="en-GB"/>
        </w:rPr>
        <w:t xml:space="preserve">During transition from BWP0 to BWP1, </w:t>
      </w:r>
      <w:r w:rsidR="009B6DF6">
        <w:rPr>
          <w:lang w:val="en-GB"/>
        </w:rPr>
        <w:t>Table1 which contains 3 rows is used, but the time-domain RA field of BWP0 contains only 1 bit. As a result, only one of the first two rows can be selected as k0 for scheduling of PDSCH and BWP transition; The 3</w:t>
      </w:r>
      <w:r w:rsidR="009B6DF6" w:rsidRPr="009B6DF6">
        <w:rPr>
          <w:vertAlign w:val="superscript"/>
          <w:lang w:val="en-GB"/>
        </w:rPr>
        <w:t>rd</w:t>
      </w:r>
      <w:r w:rsidR="009B6DF6">
        <w:rPr>
          <w:lang w:val="en-GB"/>
        </w:rPr>
        <w:t xml:space="preserve"> row is not addressable during this transition. During transition from BWP1 to BWP2, Table2 which contains 2 rows is used, but the time-domain RA field of BWP1 contains 2 bits; As a result, only the lower bit is used for addressing Table 2, and the upper bit is dropped.</w:t>
      </w:r>
    </w:p>
    <w:p w14:paraId="56AB047D" w14:textId="440D7236" w:rsidR="002E29D7" w:rsidRDefault="00591A92" w:rsidP="00C32157">
      <w:pPr>
        <w:rPr>
          <w:lang w:val="en-GB"/>
        </w:rPr>
      </w:pPr>
      <w:r>
        <w:rPr>
          <w:lang w:val="en-GB"/>
        </w:rPr>
        <w:t xml:space="preserve">Although not illustrated, </w:t>
      </w:r>
      <w:r w:rsidR="00B2188D">
        <w:rPr>
          <w:lang w:val="en-GB"/>
        </w:rPr>
        <w:t xml:space="preserve">transition between </w:t>
      </w:r>
      <w:r>
        <w:rPr>
          <w:lang w:val="en-GB"/>
        </w:rPr>
        <w:t xml:space="preserve">BWP0 </w:t>
      </w:r>
      <w:r w:rsidR="00B2188D">
        <w:rPr>
          <w:lang w:val="en-GB"/>
        </w:rPr>
        <w:t xml:space="preserve">and </w:t>
      </w:r>
      <w:r>
        <w:rPr>
          <w:lang w:val="en-GB"/>
        </w:rPr>
        <w:t>BWP2 is also feasible and because the time-domain RA fields are same size (2-bit) for BWP0 and BWP2, no transformation to the field content needs to be applied.</w:t>
      </w:r>
    </w:p>
    <w:p w14:paraId="171385ED" w14:textId="4E0ACCFB" w:rsidR="00EB716B" w:rsidRDefault="00EB716B" w:rsidP="001437FC">
      <w:pPr>
        <w:rPr>
          <w:lang w:val="en-GB"/>
        </w:rPr>
      </w:pPr>
    </w:p>
    <w:p w14:paraId="6CD58257" w14:textId="61D8FDEF" w:rsidR="001C75DC" w:rsidRDefault="001C75DC" w:rsidP="001C75DC">
      <w:pPr>
        <w:pStyle w:val="Heading3"/>
      </w:pPr>
      <w:r>
        <w:lastRenderedPageBreak/>
        <w:t>Support for Null-Assignment</w:t>
      </w:r>
    </w:p>
    <w:p w14:paraId="278F0943" w14:textId="76FA714D" w:rsidR="00ED7634" w:rsidRDefault="00E33E32" w:rsidP="00ED7634">
      <w:pPr>
        <w:rPr>
          <w:lang w:val="en-GB"/>
        </w:rPr>
      </w:pPr>
      <w:r>
        <w:rPr>
          <w:lang w:val="en-GB"/>
        </w:rPr>
        <w:t>There was extensive discussion on the issue</w:t>
      </w:r>
      <w:r w:rsidR="00A54E1E">
        <w:rPr>
          <w:lang w:val="en-GB"/>
        </w:rPr>
        <w:t>s</w:t>
      </w:r>
      <w:r>
        <w:rPr>
          <w:lang w:val="en-GB"/>
        </w:rPr>
        <w:t xml:space="preserve"> with the DCI transformation working assumption during #92bis, and null-assignment in BWP switching DCI is one of the </w:t>
      </w:r>
      <w:r w:rsidR="00A54E1E">
        <w:rPr>
          <w:lang w:val="en-GB"/>
        </w:rPr>
        <w:t xml:space="preserve">very promising </w:t>
      </w:r>
      <w:r>
        <w:rPr>
          <w:lang w:val="en-GB"/>
        </w:rPr>
        <w:t>solutions. Many of the details have been captured in the offline discussion summary (Option 4 in Section 3)</w:t>
      </w:r>
      <w:r w:rsidR="00B4290C">
        <w:rPr>
          <w:lang w:val="en-GB"/>
        </w:rPr>
        <w:t xml:space="preserve"> </w:t>
      </w:r>
      <w:r w:rsidR="00B4290C">
        <w:rPr>
          <w:lang w:val="en-GB"/>
        </w:rPr>
        <w:fldChar w:fldCharType="begin"/>
      </w:r>
      <w:r w:rsidR="00B4290C">
        <w:rPr>
          <w:lang w:val="en-GB"/>
        </w:rPr>
        <w:instrText xml:space="preserve"> REF _Ref513763519 \r \h </w:instrText>
      </w:r>
      <w:r w:rsidR="00B4290C">
        <w:rPr>
          <w:lang w:val="en-GB"/>
        </w:rPr>
      </w:r>
      <w:r w:rsidR="00B4290C">
        <w:rPr>
          <w:lang w:val="en-GB"/>
        </w:rPr>
        <w:fldChar w:fldCharType="separate"/>
      </w:r>
      <w:r w:rsidR="00ED57BA">
        <w:rPr>
          <w:lang w:val="en-GB"/>
        </w:rPr>
        <w:t>[10]</w:t>
      </w:r>
      <w:r w:rsidR="00B4290C">
        <w:rPr>
          <w:lang w:val="en-GB"/>
        </w:rPr>
        <w:fldChar w:fldCharType="end"/>
      </w:r>
      <w:r>
        <w:rPr>
          <w:lang w:val="en-GB"/>
        </w:rPr>
        <w:t xml:space="preserve"> </w:t>
      </w:r>
      <w:r w:rsidR="00A54E1E">
        <w:rPr>
          <w:lang w:val="en-GB"/>
        </w:rPr>
        <w:t>and will not be repeated here.</w:t>
      </w:r>
    </w:p>
    <w:p w14:paraId="48D9E516" w14:textId="2B1E4D76" w:rsidR="00E33E32" w:rsidRDefault="00A54E1E" w:rsidP="00ED7634">
      <w:pPr>
        <w:rPr>
          <w:lang w:val="en-GB"/>
        </w:rPr>
      </w:pPr>
      <w:r>
        <w:rPr>
          <w:lang w:val="en-GB"/>
        </w:rPr>
        <w:t>I</w:t>
      </w:r>
      <w:r w:rsidR="00E33E32">
        <w:rPr>
          <w:lang w:val="en-GB"/>
        </w:rPr>
        <w:t>n the following, we will have a very brief recap of the motivations for supporting null assignment.</w:t>
      </w:r>
    </w:p>
    <w:p w14:paraId="3FDE6A65" w14:textId="71322841" w:rsidR="00E33E32" w:rsidRDefault="00675376" w:rsidP="001C75DC">
      <w:pPr>
        <w:pStyle w:val="ListParagraph"/>
        <w:numPr>
          <w:ilvl w:val="0"/>
          <w:numId w:val="25"/>
        </w:numPr>
      </w:pPr>
      <w:r>
        <w:t>Null-assignment can be used for explicit transition to default BWP</w:t>
      </w:r>
    </w:p>
    <w:p w14:paraId="2C3F2CB7" w14:textId="7716556B" w:rsidR="00675376" w:rsidRDefault="00675376" w:rsidP="00675376">
      <w:pPr>
        <w:pStyle w:val="ListParagraph"/>
        <w:numPr>
          <w:ilvl w:val="1"/>
          <w:numId w:val="25"/>
        </w:numPr>
      </w:pPr>
      <w:r>
        <w:t xml:space="preserve">If there has been a period of time with no scheduling activity, active BWP would fall back to the default BWP by a </w:t>
      </w:r>
      <w:r w:rsidR="007A66F1">
        <w:t>timer mechanism</w:t>
      </w:r>
    </w:p>
    <w:p w14:paraId="2ED7D804" w14:textId="0EEB158A" w:rsidR="007A66F1" w:rsidRDefault="00A54E1E" w:rsidP="00675376">
      <w:pPr>
        <w:pStyle w:val="ListParagraph"/>
        <w:numPr>
          <w:ilvl w:val="1"/>
          <w:numId w:val="25"/>
        </w:numPr>
      </w:pPr>
      <w:r>
        <w:t xml:space="preserve">If </w:t>
      </w:r>
      <w:r w:rsidR="007A66F1">
        <w:t>NW knows that it will not schedule</w:t>
      </w:r>
      <w:r>
        <w:t xml:space="preserve"> large data</w:t>
      </w:r>
      <w:r w:rsidR="007A66F1">
        <w:t xml:space="preserve"> to the UE for some time, it can explicitly signal the UE to go back to the default BWP.</w:t>
      </w:r>
    </w:p>
    <w:p w14:paraId="70BEA857" w14:textId="169F02A2" w:rsidR="00A44CDE" w:rsidRDefault="007A66F1" w:rsidP="00675376">
      <w:pPr>
        <w:pStyle w:val="ListParagraph"/>
        <w:numPr>
          <w:ilvl w:val="1"/>
          <w:numId w:val="25"/>
        </w:numPr>
      </w:pPr>
      <w:r>
        <w:t>Without null assignment, a dummy grant has to be used</w:t>
      </w:r>
      <w:r w:rsidR="00A54E1E">
        <w:t xml:space="preserve"> to signal UE to go to the default BWP</w:t>
      </w:r>
    </w:p>
    <w:p w14:paraId="4EBDF6C4" w14:textId="53A748B9" w:rsidR="007A66F1" w:rsidRDefault="00A44CDE" w:rsidP="00A44CDE">
      <w:pPr>
        <w:pStyle w:val="ListParagraph"/>
        <w:numPr>
          <w:ilvl w:val="2"/>
          <w:numId w:val="25"/>
        </w:numPr>
      </w:pPr>
      <w:r>
        <w:t>One can argue that NW can piggyback the switch command in the DL assignment for the last piece of DL data. However, t</w:t>
      </w:r>
      <w:r w:rsidR="007A66F1">
        <w:t xml:space="preserve">ypically, NW </w:t>
      </w:r>
      <w:r>
        <w:t>cannot do that</w:t>
      </w:r>
      <w:r w:rsidR="007A66F1">
        <w:t xml:space="preserve"> because it does not know whether the DL </w:t>
      </w:r>
      <w:r>
        <w:t xml:space="preserve">transmission </w:t>
      </w:r>
      <w:r w:rsidR="007A66F1">
        <w:t>would result in HARQ retransmission (and if so, would prefer to stay in the original BWP).</w:t>
      </w:r>
    </w:p>
    <w:p w14:paraId="62F05564" w14:textId="4138ECBA" w:rsidR="001C75DC" w:rsidRDefault="001C75DC" w:rsidP="001C75DC">
      <w:pPr>
        <w:pStyle w:val="ListParagraph"/>
        <w:numPr>
          <w:ilvl w:val="0"/>
          <w:numId w:val="25"/>
        </w:numPr>
      </w:pPr>
      <w:r>
        <w:t>Cross-BWP scheduling does not work properly for certain cases:</w:t>
      </w:r>
    </w:p>
    <w:p w14:paraId="3908C960" w14:textId="77777777" w:rsidR="001C75DC" w:rsidRDefault="001C75DC" w:rsidP="001C75DC">
      <w:pPr>
        <w:pStyle w:val="ListParagraph"/>
        <w:numPr>
          <w:ilvl w:val="1"/>
          <w:numId w:val="25"/>
        </w:numPr>
      </w:pPr>
      <w:r>
        <w:t>Type 1 allocation could result in severe limitations in frequency domain resource allocation</w:t>
      </w:r>
    </w:p>
    <w:p w14:paraId="21223EDE" w14:textId="15707AC4" w:rsidR="001C75DC" w:rsidRDefault="001C75DC" w:rsidP="001C75DC">
      <w:pPr>
        <w:pStyle w:val="ListParagraph"/>
        <w:numPr>
          <w:ilvl w:val="2"/>
          <w:numId w:val="25"/>
        </w:numPr>
      </w:pPr>
      <w:r>
        <w:t xml:space="preserve">For DL, it is easier to “live with” the scheduling limitations; But for UL, it may lead to spectrum fragmentation / poor resource </w:t>
      </w:r>
      <w:proofErr w:type="spellStart"/>
      <w:r>
        <w:t>utilitization</w:t>
      </w:r>
      <w:proofErr w:type="spellEnd"/>
      <w:r>
        <w:t>, and there should be a way for NW to initiate BWP switch only and defer scheduling of actual UL transmission until scheduling can be done more effectively for the new UL BWP.</w:t>
      </w:r>
    </w:p>
    <w:p w14:paraId="1722771D" w14:textId="6B5D6799" w:rsidR="00FF59D9" w:rsidRDefault="00FF59D9" w:rsidP="00FF59D9">
      <w:pPr>
        <w:pStyle w:val="ListParagraph"/>
        <w:numPr>
          <w:ilvl w:val="1"/>
          <w:numId w:val="25"/>
        </w:numPr>
      </w:pPr>
      <w:r>
        <w:t>Dummy grant avoidance</w:t>
      </w:r>
    </w:p>
    <w:p w14:paraId="30E9C06E" w14:textId="68CB87E7" w:rsidR="00FF59D9" w:rsidRDefault="00FF59D9" w:rsidP="00FF59D9">
      <w:pPr>
        <w:pStyle w:val="ListParagraph"/>
        <w:numPr>
          <w:ilvl w:val="2"/>
          <w:numId w:val="25"/>
        </w:numPr>
      </w:pPr>
      <w:r>
        <w:t xml:space="preserve">It is envisioned that dummy grants would be used by the NW </w:t>
      </w:r>
      <w:r w:rsidR="00F67B16">
        <w:t xml:space="preserve">due to limitations in scheduling and/or other DCI parameters. </w:t>
      </w:r>
      <w:r>
        <w:t xml:space="preserve">However, dummy grant results in wastage of system resources. With null-assignment, </w:t>
      </w:r>
      <w:r w:rsidR="00F67B16">
        <w:t xml:space="preserve">at least </w:t>
      </w:r>
      <w:r>
        <w:t>dummy PDSCH/PUSCH can be avoided.</w:t>
      </w:r>
    </w:p>
    <w:p w14:paraId="605388B6" w14:textId="1DE9086B" w:rsidR="001C75DC" w:rsidRDefault="007A66F1" w:rsidP="007A66F1">
      <w:pPr>
        <w:pStyle w:val="ListParagraph"/>
        <w:numPr>
          <w:ilvl w:val="1"/>
          <w:numId w:val="25"/>
        </w:numPr>
      </w:pPr>
      <w:r>
        <w:t xml:space="preserve">There are </w:t>
      </w:r>
      <w:r w:rsidR="002537FB">
        <w:t xml:space="preserve">major </w:t>
      </w:r>
      <w:r>
        <w:t xml:space="preserve">complications associated with cross-BWP scheduling for BWP switch, if the current and new BWP have very different configurations. On the other hand, it is envisioned that for most of the use cases, BWPs are configured very similarly and many of the DCI field size should be the same. Null assignment can be used to circumvent the complicated case, for which scheduling for the first slot after a BWP switch </w:t>
      </w:r>
      <w:r w:rsidR="002537FB">
        <w:t xml:space="preserve">anyway </w:t>
      </w:r>
      <w:r>
        <w:t>may not be practical. It should be considered that the case for cross-BWP scheduling is an optimization, and BWP switch with null assignment should be the more straight-forward approach.</w:t>
      </w:r>
    </w:p>
    <w:p w14:paraId="7FB09477" w14:textId="77777777" w:rsidR="001C75DC" w:rsidRDefault="001C75DC" w:rsidP="001C75DC">
      <w:pPr>
        <w:pStyle w:val="ListParagraph"/>
        <w:numPr>
          <w:ilvl w:val="0"/>
          <w:numId w:val="25"/>
        </w:numPr>
      </w:pPr>
      <w:r>
        <w:t>There is no timeline penalty for DL BWP switch and DL scheduling</w:t>
      </w:r>
    </w:p>
    <w:p w14:paraId="343C9E14" w14:textId="77777777" w:rsidR="001C75DC" w:rsidRDefault="001C75DC" w:rsidP="001C75DC">
      <w:pPr>
        <w:pStyle w:val="ListParagraph"/>
        <w:numPr>
          <w:ilvl w:val="1"/>
          <w:numId w:val="25"/>
        </w:numPr>
      </w:pPr>
      <w:r>
        <w:t>For DL BWP switch, UE is expected to start monitoring PDCCH in the new BWP in k0 slot as indicated in the BWP switch DCI. If the BWP DCI contains a null-assignment, NW can always issue another DL scheduling DCI in the first slot of the new BWP, and schedule PDSCH in the same slot. Compared to cross-BWP scheduling, there is no additional time delay.</w:t>
      </w:r>
    </w:p>
    <w:p w14:paraId="1489410E" w14:textId="77777777" w:rsidR="001C75DC" w:rsidRPr="0012498C" w:rsidRDefault="001C75DC" w:rsidP="001C75DC"/>
    <w:p w14:paraId="0938A879" w14:textId="512C8ADF" w:rsidR="001C75DC" w:rsidRDefault="001C75DC" w:rsidP="001C75DC">
      <w:pPr>
        <w:pStyle w:val="Caption"/>
        <w:rPr>
          <w:lang w:val="en-GB"/>
        </w:rPr>
      </w:pPr>
      <w:bookmarkStart w:id="12" w:name="_Toc513834888"/>
      <w:r>
        <w:t xml:space="preserve">Proposal </w:t>
      </w:r>
      <w:r w:rsidR="007552E2">
        <w:fldChar w:fldCharType="begin"/>
      </w:r>
      <w:r w:rsidR="007552E2">
        <w:instrText xml:space="preserve"> SEQ Proposal \* ARABIC </w:instrText>
      </w:r>
      <w:r w:rsidR="007552E2">
        <w:fldChar w:fldCharType="separate"/>
      </w:r>
      <w:r w:rsidR="00ED57BA">
        <w:rPr>
          <w:noProof/>
        </w:rPr>
        <w:t>4</w:t>
      </w:r>
      <w:r w:rsidR="007552E2">
        <w:rPr>
          <w:noProof/>
        </w:rPr>
        <w:fldChar w:fldCharType="end"/>
      </w:r>
      <w:r>
        <w:t xml:space="preserve">: </w:t>
      </w:r>
      <w:r w:rsidR="00ED7634">
        <w:t>Ad</w:t>
      </w:r>
      <w:r>
        <w:t>d support for null-assignment for BWP switch DCI</w:t>
      </w:r>
      <w:r w:rsidR="002537FB">
        <w:t>.</w:t>
      </w:r>
      <w:bookmarkEnd w:id="12"/>
    </w:p>
    <w:p w14:paraId="72A95A89" w14:textId="4C265F3B" w:rsidR="001C75DC" w:rsidRDefault="001C75DC" w:rsidP="001C75DC"/>
    <w:p w14:paraId="5051DADB" w14:textId="681CEDD0" w:rsidR="002537FB" w:rsidRDefault="002537FB" w:rsidP="001C75DC">
      <w:r>
        <w:t xml:space="preserve">It should be noted that adding support for null-assignment introduces very little complexity increase for the UE. UE implementation already has to handle the case that null-assignment is issued with Type 0 allocation in frequency domain RA. Currently, </w:t>
      </w:r>
      <w:r w:rsidR="00F67B16">
        <w:t>it is up to UE implementation and generally UE would drop the DCI</w:t>
      </w:r>
      <w:r>
        <w:t>. If null assignment is supported, support for grant processing for a few relevant fields needs to be added. Also, UE anyway has to handle error conditions arising from inconsistent DCI field contents. For example, some DCI field may be an index to a table configured by the NW. It is possible that such index may not point to a valid entry in the table. Having support for null assignment helps reduce NW complexity in a way that it does not have to handle the DCI field content transformation for many of the fields to make sure they don’t result in unacceptable behavior on the UE.</w:t>
      </w:r>
      <w:r w:rsidR="008A10B3">
        <w:t xml:space="preserve"> From UE’s perspective, error handling of inconsistent DCI field content has to be supported regardless and should not be a factor in evaluating null-assignment support.</w:t>
      </w:r>
    </w:p>
    <w:p w14:paraId="4CA258DD" w14:textId="7B0DAB08" w:rsidR="00842186" w:rsidRPr="0053533A" w:rsidRDefault="00842186" w:rsidP="001C75DC">
      <w:r>
        <w:lastRenderedPageBreak/>
        <w:t>The following figures illustrate an example of the end-to-end timeline for BWP switch. It is proposed that the timeline is identical between the case with and without null assignment.</w:t>
      </w:r>
    </w:p>
    <w:tbl>
      <w:tblPr>
        <w:tblStyle w:val="TableGrid"/>
        <w:tblW w:w="0" w:type="auto"/>
        <w:tblLook w:val="04A0" w:firstRow="1" w:lastRow="0" w:firstColumn="1" w:lastColumn="0" w:noHBand="0" w:noVBand="1"/>
      </w:tblPr>
      <w:tblGrid>
        <w:gridCol w:w="4814"/>
        <w:gridCol w:w="4814"/>
      </w:tblGrid>
      <w:tr w:rsidR="001C75DC" w14:paraId="15F31B06" w14:textId="77777777" w:rsidTr="001F416E">
        <w:tc>
          <w:tcPr>
            <w:tcW w:w="4814" w:type="dxa"/>
          </w:tcPr>
          <w:p w14:paraId="660337F2" w14:textId="35772AA8" w:rsidR="001C75DC" w:rsidRDefault="001C75DC" w:rsidP="001F416E">
            <w:pPr>
              <w:pStyle w:val="Caption"/>
              <w:keepNext/>
            </w:pPr>
            <w:bookmarkStart w:id="13" w:name="_Ref506321553"/>
            <w:r>
              <w:t xml:space="preserve">Figure </w:t>
            </w:r>
            <w:r w:rsidR="007552E2">
              <w:fldChar w:fldCharType="begin"/>
            </w:r>
            <w:r w:rsidR="007552E2">
              <w:instrText xml:space="preserve"> SEQ Figure \* ARABIC </w:instrText>
            </w:r>
            <w:r w:rsidR="007552E2">
              <w:fldChar w:fldCharType="separate"/>
            </w:r>
            <w:r w:rsidR="00ED57BA">
              <w:rPr>
                <w:noProof/>
              </w:rPr>
              <w:t>1</w:t>
            </w:r>
            <w:r w:rsidR="007552E2">
              <w:rPr>
                <w:noProof/>
              </w:rPr>
              <w:fldChar w:fldCharType="end"/>
            </w:r>
            <w:bookmarkEnd w:id="13"/>
            <w:r>
              <w:t>: DL scheduling triggers BWP change</w:t>
            </w:r>
          </w:p>
          <w:p w14:paraId="24863A9F" w14:textId="77777777" w:rsidR="001C75DC" w:rsidRDefault="001C75DC" w:rsidP="001F416E">
            <w:r w:rsidRPr="00D31ECA">
              <w:rPr>
                <w:noProof/>
              </w:rPr>
              <w:drawing>
                <wp:inline distT="0" distB="0" distL="0" distR="0" wp14:anchorId="0163CBC7" wp14:editId="6C8D3DA6">
                  <wp:extent cx="2203704" cy="1252728"/>
                  <wp:effectExtent l="0" t="0" r="6350" b="5080"/>
                  <wp:docPr id="22" name="Picture 5">
                    <a:extLst xmlns:a="http://schemas.openxmlformats.org/drawingml/2006/main">
                      <a:ext uri="{FF2B5EF4-FFF2-40B4-BE49-F238E27FC236}">
                        <a16:creationId xmlns:a16="http://schemas.microsoft.com/office/drawing/2014/main" id="{A0F2E5FE-BA65-42A7-AD8B-0E3D7D84D0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0F2E5FE-BA65-42A7-AD8B-0E3D7D84D0F8}"/>
                              </a:ext>
                            </a:extLst>
                          </pic:cNvPr>
                          <pic:cNvPicPr>
                            <a:picLocks noChangeAspect="1"/>
                          </pic:cNvPicPr>
                        </pic:nvPicPr>
                        <pic:blipFill>
                          <a:blip r:embed="rId19"/>
                          <a:stretch>
                            <a:fillRect/>
                          </a:stretch>
                        </pic:blipFill>
                        <pic:spPr>
                          <a:xfrm>
                            <a:off x="0" y="0"/>
                            <a:ext cx="2203704" cy="1252728"/>
                          </a:xfrm>
                          <a:prstGeom prst="rect">
                            <a:avLst/>
                          </a:prstGeom>
                        </pic:spPr>
                      </pic:pic>
                    </a:graphicData>
                  </a:graphic>
                </wp:inline>
              </w:drawing>
            </w:r>
          </w:p>
        </w:tc>
        <w:tc>
          <w:tcPr>
            <w:tcW w:w="4814" w:type="dxa"/>
          </w:tcPr>
          <w:p w14:paraId="4C83BB54" w14:textId="6AA170B3" w:rsidR="001C75DC" w:rsidRDefault="001C75DC" w:rsidP="001F416E">
            <w:pPr>
              <w:pStyle w:val="Caption"/>
              <w:keepNext/>
            </w:pPr>
            <w:r>
              <w:t xml:space="preserve">Figure </w:t>
            </w:r>
            <w:r w:rsidR="007552E2">
              <w:fldChar w:fldCharType="begin"/>
            </w:r>
            <w:r w:rsidR="007552E2">
              <w:instrText xml:space="preserve"> SEQ Figure \* ARABIC </w:instrText>
            </w:r>
            <w:r w:rsidR="007552E2">
              <w:fldChar w:fldCharType="separate"/>
            </w:r>
            <w:r w:rsidR="00ED57BA">
              <w:rPr>
                <w:noProof/>
              </w:rPr>
              <w:t>2</w:t>
            </w:r>
            <w:r w:rsidR="007552E2">
              <w:rPr>
                <w:noProof/>
              </w:rPr>
              <w:fldChar w:fldCharType="end"/>
            </w:r>
            <w:r>
              <w:t>: UL scheduling triggers BWP change</w:t>
            </w:r>
          </w:p>
          <w:p w14:paraId="74B66FFC" w14:textId="77777777" w:rsidR="001C75DC" w:rsidRDefault="001C75DC" w:rsidP="001F416E">
            <w:r w:rsidRPr="00D31ECA">
              <w:rPr>
                <w:noProof/>
              </w:rPr>
              <w:drawing>
                <wp:inline distT="0" distB="0" distL="0" distR="0" wp14:anchorId="0182F788" wp14:editId="185EBC8E">
                  <wp:extent cx="1947672" cy="1252728"/>
                  <wp:effectExtent l="0" t="0" r="0" b="5080"/>
                  <wp:docPr id="23" name="Picture 5">
                    <a:extLst xmlns:a="http://schemas.openxmlformats.org/drawingml/2006/main">
                      <a:ext uri="{FF2B5EF4-FFF2-40B4-BE49-F238E27FC236}">
                        <a16:creationId xmlns:a16="http://schemas.microsoft.com/office/drawing/2014/main" id="{022436AE-8F88-4FC0-9FDD-E967E43CD7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22436AE-8F88-4FC0-9FDD-E967E43CD767}"/>
                              </a:ext>
                            </a:extLst>
                          </pic:cNvPr>
                          <pic:cNvPicPr>
                            <a:picLocks noChangeAspect="1"/>
                          </pic:cNvPicPr>
                        </pic:nvPicPr>
                        <pic:blipFill>
                          <a:blip r:embed="rId20"/>
                          <a:stretch>
                            <a:fillRect/>
                          </a:stretch>
                        </pic:blipFill>
                        <pic:spPr>
                          <a:xfrm>
                            <a:off x="0" y="0"/>
                            <a:ext cx="1947672" cy="1252728"/>
                          </a:xfrm>
                          <a:prstGeom prst="rect">
                            <a:avLst/>
                          </a:prstGeom>
                        </pic:spPr>
                      </pic:pic>
                    </a:graphicData>
                  </a:graphic>
                </wp:inline>
              </w:drawing>
            </w:r>
          </w:p>
        </w:tc>
      </w:tr>
      <w:tr w:rsidR="001C75DC" w14:paraId="0961EA6D" w14:textId="77777777" w:rsidTr="001F416E">
        <w:tc>
          <w:tcPr>
            <w:tcW w:w="4814" w:type="dxa"/>
          </w:tcPr>
          <w:p w14:paraId="2A606E0D" w14:textId="180CA075" w:rsidR="001C75DC" w:rsidRDefault="001C75DC" w:rsidP="001F416E">
            <w:pPr>
              <w:pStyle w:val="Caption"/>
              <w:keepNext/>
            </w:pPr>
            <w:bookmarkStart w:id="14" w:name="_Ref506321289"/>
            <w:r>
              <w:t xml:space="preserve">Figure </w:t>
            </w:r>
            <w:r w:rsidR="007552E2">
              <w:fldChar w:fldCharType="begin"/>
            </w:r>
            <w:r w:rsidR="007552E2">
              <w:instrText xml:space="preserve"> SEQ Figure \* ARABIC </w:instrText>
            </w:r>
            <w:r w:rsidR="007552E2">
              <w:fldChar w:fldCharType="separate"/>
            </w:r>
            <w:r w:rsidR="00ED57BA">
              <w:rPr>
                <w:noProof/>
              </w:rPr>
              <w:t>3</w:t>
            </w:r>
            <w:r w:rsidR="007552E2">
              <w:rPr>
                <w:noProof/>
              </w:rPr>
              <w:fldChar w:fldCharType="end"/>
            </w:r>
            <w:bookmarkEnd w:id="14"/>
            <w:r>
              <w:t>: DL scheduling with null assignment triggers BWP change only</w:t>
            </w:r>
          </w:p>
          <w:p w14:paraId="506ABD64" w14:textId="77777777" w:rsidR="001C75DC" w:rsidRDefault="001C75DC" w:rsidP="001F416E">
            <w:r w:rsidRPr="00D31ECA">
              <w:rPr>
                <w:noProof/>
              </w:rPr>
              <w:drawing>
                <wp:inline distT="0" distB="0" distL="0" distR="0" wp14:anchorId="05744425" wp14:editId="5866F307">
                  <wp:extent cx="2203704" cy="1252728"/>
                  <wp:effectExtent l="0" t="0" r="6350" b="5080"/>
                  <wp:docPr id="24" name="Picture 14">
                    <a:extLst xmlns:a="http://schemas.openxmlformats.org/drawingml/2006/main">
                      <a:ext uri="{FF2B5EF4-FFF2-40B4-BE49-F238E27FC236}">
                        <a16:creationId xmlns:a16="http://schemas.microsoft.com/office/drawing/2014/main" id="{2DB9EDC1-AEC9-4225-A702-1D72C02DBE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2DB9EDC1-AEC9-4225-A702-1D72C02DBE13}"/>
                              </a:ext>
                            </a:extLst>
                          </pic:cNvPr>
                          <pic:cNvPicPr>
                            <a:picLocks noChangeAspect="1"/>
                          </pic:cNvPicPr>
                        </pic:nvPicPr>
                        <pic:blipFill>
                          <a:blip r:embed="rId21"/>
                          <a:stretch>
                            <a:fillRect/>
                          </a:stretch>
                        </pic:blipFill>
                        <pic:spPr>
                          <a:xfrm>
                            <a:off x="0" y="0"/>
                            <a:ext cx="2203704" cy="1252728"/>
                          </a:xfrm>
                          <a:prstGeom prst="rect">
                            <a:avLst/>
                          </a:prstGeom>
                        </pic:spPr>
                      </pic:pic>
                    </a:graphicData>
                  </a:graphic>
                </wp:inline>
              </w:drawing>
            </w:r>
          </w:p>
        </w:tc>
        <w:tc>
          <w:tcPr>
            <w:tcW w:w="4814" w:type="dxa"/>
          </w:tcPr>
          <w:p w14:paraId="29F088E9" w14:textId="7472B263" w:rsidR="001C75DC" w:rsidRDefault="001C75DC" w:rsidP="001F416E">
            <w:pPr>
              <w:pStyle w:val="Caption"/>
              <w:keepNext/>
            </w:pPr>
            <w:bookmarkStart w:id="15" w:name="_Ref506321294"/>
            <w:r>
              <w:t xml:space="preserve">Figure </w:t>
            </w:r>
            <w:r w:rsidR="007552E2">
              <w:fldChar w:fldCharType="begin"/>
            </w:r>
            <w:r w:rsidR="007552E2">
              <w:instrText xml:space="preserve"> SEQ Figure \* ARABIC </w:instrText>
            </w:r>
            <w:r w:rsidR="007552E2">
              <w:fldChar w:fldCharType="separate"/>
            </w:r>
            <w:r w:rsidR="00ED57BA">
              <w:rPr>
                <w:noProof/>
              </w:rPr>
              <w:t>4</w:t>
            </w:r>
            <w:r w:rsidR="007552E2">
              <w:rPr>
                <w:noProof/>
              </w:rPr>
              <w:fldChar w:fldCharType="end"/>
            </w:r>
            <w:bookmarkEnd w:id="15"/>
            <w:r>
              <w:t>: UL scheduling with null assignment triggers BWP change only</w:t>
            </w:r>
          </w:p>
          <w:p w14:paraId="0BC1157C" w14:textId="77777777" w:rsidR="001C75DC" w:rsidRDefault="001C75DC" w:rsidP="001F416E">
            <w:r w:rsidRPr="00D31ECA">
              <w:rPr>
                <w:noProof/>
              </w:rPr>
              <w:drawing>
                <wp:inline distT="0" distB="0" distL="0" distR="0" wp14:anchorId="008642DA" wp14:editId="39BF652F">
                  <wp:extent cx="1947672" cy="1252728"/>
                  <wp:effectExtent l="0" t="0" r="0" b="5080"/>
                  <wp:docPr id="25" name="Picture 13">
                    <a:extLst xmlns:a="http://schemas.openxmlformats.org/drawingml/2006/main">
                      <a:ext uri="{FF2B5EF4-FFF2-40B4-BE49-F238E27FC236}">
                        <a16:creationId xmlns:a16="http://schemas.microsoft.com/office/drawing/2014/main" id="{5E77383C-B360-4E67-9CC5-BC6D905E4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5E77383C-B360-4E67-9CC5-BC6D905E4C7E}"/>
                              </a:ext>
                            </a:extLst>
                          </pic:cNvPr>
                          <pic:cNvPicPr>
                            <a:picLocks noChangeAspect="1"/>
                          </pic:cNvPicPr>
                        </pic:nvPicPr>
                        <pic:blipFill>
                          <a:blip r:embed="rId22"/>
                          <a:stretch>
                            <a:fillRect/>
                          </a:stretch>
                        </pic:blipFill>
                        <pic:spPr>
                          <a:xfrm>
                            <a:off x="0" y="0"/>
                            <a:ext cx="1947672" cy="1252728"/>
                          </a:xfrm>
                          <a:prstGeom prst="rect">
                            <a:avLst/>
                          </a:prstGeom>
                        </pic:spPr>
                      </pic:pic>
                    </a:graphicData>
                  </a:graphic>
                </wp:inline>
              </w:drawing>
            </w:r>
          </w:p>
        </w:tc>
      </w:tr>
    </w:tbl>
    <w:p w14:paraId="0C6B09CE" w14:textId="77777777" w:rsidR="001C75DC" w:rsidRDefault="001C75DC" w:rsidP="001C75DC">
      <w:pPr>
        <w:rPr>
          <w:lang w:val="en-GB"/>
        </w:rPr>
      </w:pPr>
    </w:p>
    <w:p w14:paraId="0F669101" w14:textId="77777777" w:rsidR="001C75DC" w:rsidRPr="00D92F7C" w:rsidRDefault="001C75DC" w:rsidP="001437FC">
      <w:pPr>
        <w:rPr>
          <w:lang w:val="en-GB"/>
        </w:rPr>
      </w:pPr>
    </w:p>
    <w:p w14:paraId="4FC955BF" w14:textId="4451650D" w:rsidR="006A5F67" w:rsidRDefault="00DD1795" w:rsidP="006A5F67">
      <w:pPr>
        <w:pStyle w:val="Heading2"/>
      </w:pPr>
      <w:r>
        <w:t xml:space="preserve">Other </w:t>
      </w:r>
      <w:r w:rsidR="006A5F67">
        <w:t>Remaining Issues on BWP</w:t>
      </w:r>
    </w:p>
    <w:p w14:paraId="019E7CAB" w14:textId="214233AA" w:rsidR="00AA62FE" w:rsidRPr="00AA62FE" w:rsidRDefault="00AA62FE" w:rsidP="00AA62FE">
      <w:pPr>
        <w:rPr>
          <w:lang w:val="en-GB"/>
        </w:rPr>
      </w:pPr>
    </w:p>
    <w:p w14:paraId="77A5AABC" w14:textId="77777777" w:rsidR="009713ED" w:rsidRDefault="009713ED" w:rsidP="009713ED">
      <w:pPr>
        <w:pStyle w:val="Heading3"/>
      </w:pPr>
      <w:bookmarkStart w:id="16" w:name="_Ref506512240"/>
      <w:bookmarkStart w:id="17" w:name="_Ref506512164"/>
      <w:r>
        <w:t xml:space="preserve">BWP Transition </w:t>
      </w:r>
      <w:bookmarkEnd w:id="16"/>
      <w:r>
        <w:t>Rules</w:t>
      </w:r>
    </w:p>
    <w:p w14:paraId="2993F060" w14:textId="5391CA5B" w:rsidR="009713ED" w:rsidRDefault="009713ED" w:rsidP="009713ED">
      <w:pPr>
        <w:rPr>
          <w:lang w:val="en-GB"/>
        </w:rPr>
      </w:pPr>
      <w:r>
        <w:rPr>
          <w:lang w:val="en-GB"/>
        </w:rPr>
        <w:t xml:space="preserve">In RAN1 #92, the following agreements have been made to clarify some details regarding BWP transition </w:t>
      </w:r>
      <w:r>
        <w:rPr>
          <w:lang w:val="en-GB"/>
        </w:rPr>
        <w:fldChar w:fldCharType="begin"/>
      </w:r>
      <w:r>
        <w:rPr>
          <w:lang w:val="en-GB"/>
        </w:rPr>
        <w:instrText xml:space="preserve"> REF _Ref510358192 \r \h </w:instrText>
      </w:r>
      <w:r>
        <w:rPr>
          <w:lang w:val="en-GB"/>
        </w:rPr>
      </w:r>
      <w:r>
        <w:rPr>
          <w:lang w:val="en-GB"/>
        </w:rPr>
        <w:fldChar w:fldCharType="separate"/>
      </w:r>
      <w:r w:rsidR="00ED57BA">
        <w:rPr>
          <w:lang w:val="en-GB"/>
        </w:rPr>
        <w:t>[7]</w:t>
      </w:r>
      <w:r>
        <w:rPr>
          <w:lang w:val="en-GB"/>
        </w:rPr>
        <w:fldChar w:fldCharType="end"/>
      </w:r>
      <w:r>
        <w:rPr>
          <w:lang w:val="en-GB"/>
        </w:rPr>
        <w:t>.</w:t>
      </w:r>
    </w:p>
    <w:p w14:paraId="2B7952F1" w14:textId="77777777" w:rsidR="009713ED" w:rsidRPr="00AF1A70" w:rsidRDefault="009713ED" w:rsidP="009713ED">
      <w:pPr>
        <w:rPr>
          <w:b/>
          <w:lang w:eastAsia="x-none"/>
        </w:rPr>
      </w:pPr>
      <w:r w:rsidRPr="00AF1A70">
        <w:rPr>
          <w:highlight w:val="green"/>
          <w:lang w:eastAsia="x-none"/>
        </w:rPr>
        <w:t>Agreements</w:t>
      </w:r>
      <w:r w:rsidRPr="00AF1A70">
        <w:rPr>
          <w:b/>
          <w:lang w:eastAsia="x-none"/>
        </w:rPr>
        <w:t>:</w:t>
      </w:r>
    </w:p>
    <w:p w14:paraId="686FA6A3" w14:textId="77777777" w:rsidR="009713ED" w:rsidRPr="00AF1A70" w:rsidRDefault="009713ED" w:rsidP="001575A7">
      <w:pPr>
        <w:numPr>
          <w:ilvl w:val="0"/>
          <w:numId w:val="22"/>
        </w:numPr>
        <w:overflowPunct/>
        <w:autoSpaceDE/>
        <w:autoSpaceDN/>
        <w:adjustRightInd/>
        <w:spacing w:after="0"/>
        <w:ind w:left="567" w:hanging="207"/>
        <w:textAlignment w:val="auto"/>
      </w:pPr>
      <w:r w:rsidRPr="00AF1A70">
        <w:t xml:space="preserve">A UE is not expected to receive </w:t>
      </w:r>
      <w:r w:rsidRPr="00AF1A70">
        <w:rPr>
          <w:lang w:eastAsia="zh-TW"/>
        </w:rPr>
        <w:t>DL signals or transmit UL signals during the transition time of active DL or UL BWP switch</w:t>
      </w:r>
    </w:p>
    <w:p w14:paraId="1E58B92C" w14:textId="77777777" w:rsidR="009713ED" w:rsidRPr="00AF1A70" w:rsidRDefault="009713ED" w:rsidP="001575A7">
      <w:pPr>
        <w:numPr>
          <w:ilvl w:val="1"/>
          <w:numId w:val="22"/>
        </w:numPr>
        <w:overflowPunct/>
        <w:autoSpaceDE/>
        <w:autoSpaceDN/>
        <w:adjustRightInd/>
        <w:spacing w:after="0"/>
        <w:textAlignment w:val="auto"/>
      </w:pPr>
      <w:r w:rsidRPr="00AF1A70">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4CC48D6C" w14:textId="77777777" w:rsidR="009713ED" w:rsidRDefault="009713ED" w:rsidP="001575A7">
      <w:pPr>
        <w:numPr>
          <w:ilvl w:val="1"/>
          <w:numId w:val="22"/>
        </w:numPr>
        <w:overflowPunct/>
        <w:autoSpaceDE/>
        <w:autoSpaceDN/>
        <w:adjustRightInd/>
        <w:spacing w:after="0"/>
        <w:textAlignment w:val="auto"/>
      </w:pPr>
      <w:r w:rsidRPr="00AF1A70">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AF1A70">
        <w:rPr>
          <w:lang w:eastAsia="zh-TW"/>
        </w:rPr>
        <w:t>DL signals or transmit UL signals in the default DL BWP for paired spectrum or the default DL or UL BWP for unpaired spectrum</w:t>
      </w:r>
    </w:p>
    <w:p w14:paraId="2B724A2B" w14:textId="77777777" w:rsidR="009713ED" w:rsidRPr="00AF1A70" w:rsidRDefault="009713ED" w:rsidP="009713ED">
      <w:pPr>
        <w:overflowPunct/>
        <w:autoSpaceDE/>
        <w:autoSpaceDN/>
        <w:adjustRightInd/>
        <w:spacing w:after="0"/>
        <w:textAlignment w:val="auto"/>
      </w:pPr>
    </w:p>
    <w:p w14:paraId="5A94169B" w14:textId="77777777" w:rsidR="009713ED" w:rsidRPr="00AF1A70" w:rsidRDefault="009713ED" w:rsidP="009713ED">
      <w:pPr>
        <w:rPr>
          <w:highlight w:val="green"/>
          <w:lang w:eastAsia="zh-TW"/>
        </w:rPr>
      </w:pPr>
      <w:r w:rsidRPr="00AF1A70">
        <w:rPr>
          <w:highlight w:val="green"/>
          <w:lang w:eastAsia="zh-TW"/>
        </w:rPr>
        <w:t>Agreements:</w:t>
      </w:r>
    </w:p>
    <w:p w14:paraId="7E3420FB" w14:textId="77777777" w:rsidR="009713ED" w:rsidRDefault="009713ED" w:rsidP="001575A7">
      <w:pPr>
        <w:numPr>
          <w:ilvl w:val="0"/>
          <w:numId w:val="24"/>
        </w:numPr>
        <w:overflowPunct/>
        <w:autoSpaceDE/>
        <w:autoSpaceDN/>
        <w:adjustRightInd/>
        <w:spacing w:after="0"/>
        <w:ind w:left="567" w:hanging="207"/>
        <w:textAlignment w:val="auto"/>
        <w:rPr>
          <w:lang w:eastAsia="zh-TW"/>
        </w:rPr>
      </w:pPr>
      <w:r w:rsidRPr="00AF1A70">
        <w:rPr>
          <w:lang w:eastAsia="zh-TW"/>
        </w:rPr>
        <w:t>A UE is not expected to receive a DCI indicating active DL (UL) BWP change in OFDM symbols other than the first 3 OFDM symbols of a slot</w:t>
      </w:r>
    </w:p>
    <w:p w14:paraId="30E233DF" w14:textId="77777777" w:rsidR="009713ED" w:rsidRDefault="009713ED" w:rsidP="009713ED">
      <w:pPr>
        <w:rPr>
          <w:lang w:val="en-GB"/>
        </w:rPr>
      </w:pPr>
    </w:p>
    <w:p w14:paraId="6BD62966" w14:textId="59788F60" w:rsidR="009713ED" w:rsidRDefault="009F6863" w:rsidP="009713ED">
      <w:pPr>
        <w:rPr>
          <w:lang w:val="en-GB"/>
        </w:rPr>
      </w:pPr>
      <w:r>
        <w:rPr>
          <w:lang w:val="en-GB"/>
        </w:rPr>
        <w:t>T</w:t>
      </w:r>
      <w:r w:rsidR="009713ED">
        <w:rPr>
          <w:lang w:val="en-GB"/>
        </w:rPr>
        <w:t xml:space="preserve">o avoid complicated conflicts due to multiple BWP switch DCI overlapping with each other, BWP switching should be </w:t>
      </w:r>
      <w:proofErr w:type="gramStart"/>
      <w:r w:rsidR="009713ED">
        <w:rPr>
          <w:lang w:val="en-GB"/>
        </w:rPr>
        <w:t>serialized</w:t>
      </w:r>
      <w:proofErr w:type="gramEnd"/>
      <w:r w:rsidR="009713ED">
        <w:rPr>
          <w:lang w:val="en-GB"/>
        </w:rPr>
        <w:t xml:space="preserve"> and some portion of the timeline should be protected from being intercepted by another BWP switching event. We will define a period of time when a BWP switch DCI is “in effect”, and during this time, no other BWP </w:t>
      </w:r>
      <w:r w:rsidR="009713ED">
        <w:rPr>
          <w:lang w:val="en-GB"/>
        </w:rPr>
        <w:lastRenderedPageBreak/>
        <w:t>switch DCI is expected.</w:t>
      </w:r>
      <w:r w:rsidR="005F3671">
        <w:rPr>
          <w:lang w:val="en-GB"/>
        </w:rPr>
        <w:t xml:space="preserve"> This period of time can also be considered a “critical section”, i.e. no interruption by another BWP switch DCI is expected during the period.</w:t>
      </w:r>
      <w:r w:rsidR="00211CC9">
        <w:rPr>
          <w:lang w:val="en-GB"/>
        </w:rPr>
        <w:t xml:space="preserve"> </w:t>
      </w:r>
    </w:p>
    <w:p w14:paraId="0387C3C8" w14:textId="7814DC37" w:rsidR="009713ED" w:rsidRDefault="009713ED" w:rsidP="009713ED">
      <w:r>
        <w:t xml:space="preserve">One aspect that remains to be clarified is when and how </w:t>
      </w:r>
      <w:proofErr w:type="spellStart"/>
      <w:r>
        <w:t>gNB</w:t>
      </w:r>
      <w:proofErr w:type="spellEnd"/>
      <w:r>
        <w:t xml:space="preserve"> can confirm that UE has decoded the BWP switch DCI and performed the BWP switch. </w:t>
      </w:r>
      <w:r w:rsidR="00D93D81">
        <w:t>To</w:t>
      </w:r>
      <w:r>
        <w:t xml:space="preserve"> avoid ambiguity with the active BWP, </w:t>
      </w:r>
      <w:proofErr w:type="spellStart"/>
      <w:r>
        <w:t>gNB</w:t>
      </w:r>
      <w:proofErr w:type="spellEnd"/>
      <w:r>
        <w:t xml:space="preserve"> should </w:t>
      </w:r>
      <w:r w:rsidR="000A7B18">
        <w:t xml:space="preserve">avoid </w:t>
      </w:r>
      <w:r>
        <w:t>issu</w:t>
      </w:r>
      <w:r w:rsidR="000A7B18">
        <w:t>ing</w:t>
      </w:r>
      <w:r>
        <w:t xml:space="preserve"> another BWP switch DCI until it has confirmed that UE has processed a previously issued BWP switch DCI and performed the switch.</w:t>
      </w:r>
    </w:p>
    <w:p w14:paraId="0A6E88E8" w14:textId="77777777" w:rsidR="009713ED" w:rsidRDefault="009713ED" w:rsidP="009713ED">
      <w:r>
        <w:t xml:space="preserve">It is important to consider how </w:t>
      </w:r>
      <w:proofErr w:type="spellStart"/>
      <w:r>
        <w:t>gNB</w:t>
      </w:r>
      <w:proofErr w:type="spellEnd"/>
      <w:r>
        <w:t xml:space="preserve"> can confirm that BWP transition has successfully taken place at the UE. Conceptually, </w:t>
      </w:r>
      <w:proofErr w:type="spellStart"/>
      <w:r>
        <w:t>gNB</w:t>
      </w:r>
      <w:proofErr w:type="spellEnd"/>
      <w:r>
        <w:t xml:space="preserve"> and UE must have a “full handshake” regarding BWP switch in order for both to be in sync. The following is one way that such “full handshake” can be achieved:</w:t>
      </w:r>
    </w:p>
    <w:p w14:paraId="4D86D711" w14:textId="77777777" w:rsidR="009713ED" w:rsidRDefault="009713ED" w:rsidP="001575A7">
      <w:pPr>
        <w:pStyle w:val="ListParagraph"/>
        <w:numPr>
          <w:ilvl w:val="0"/>
          <w:numId w:val="16"/>
        </w:numPr>
      </w:pPr>
      <w:r>
        <w:t xml:space="preserve">For BWP switch indicated by DCI Format 1-1, </w:t>
      </w:r>
      <w:proofErr w:type="spellStart"/>
      <w:r>
        <w:t>gNB</w:t>
      </w:r>
      <w:proofErr w:type="spellEnd"/>
      <w:r>
        <w:t xml:space="preserve"> can confirm that BWP switch has been performed by the UE when it receives HARQ-ACK feedback for the scheduled PDSCH. Either ACK or NAK can confirm the switch. </w:t>
      </w:r>
    </w:p>
    <w:p w14:paraId="48F57626" w14:textId="77777777" w:rsidR="009713ED" w:rsidRDefault="009713ED" w:rsidP="001575A7">
      <w:pPr>
        <w:pStyle w:val="ListParagraph"/>
        <w:numPr>
          <w:ilvl w:val="0"/>
          <w:numId w:val="16"/>
        </w:numPr>
      </w:pPr>
      <w:r>
        <w:t xml:space="preserve">For BWP switch indicated by DCI Format 0-1, </w:t>
      </w:r>
      <w:proofErr w:type="spellStart"/>
      <w:r>
        <w:t>gNB</w:t>
      </w:r>
      <w:proofErr w:type="spellEnd"/>
      <w:r>
        <w:t xml:space="preserve"> can confirm that BWP switch has been performed by the UE when it decodes the scheduled PUSCH in the new UL BWP.</w:t>
      </w:r>
    </w:p>
    <w:p w14:paraId="0BC27AE1" w14:textId="77777777" w:rsidR="009713ED" w:rsidRDefault="009713ED" w:rsidP="009713ED">
      <w:r>
        <w:t>Above should be the basis for defining the time period for BWP switch DCI to be “in effect”:</w:t>
      </w:r>
    </w:p>
    <w:p w14:paraId="7B985AF6" w14:textId="7B93A155" w:rsidR="00EF1EED" w:rsidRPr="00EF1EED" w:rsidRDefault="00EF1EED" w:rsidP="00EF1EED">
      <w:pPr>
        <w:pStyle w:val="Caption"/>
      </w:pPr>
      <w:bookmarkStart w:id="18" w:name="_Toc513834883"/>
      <w:r>
        <w:t xml:space="preserve">Observation </w:t>
      </w:r>
      <w:r w:rsidR="007552E2">
        <w:fldChar w:fldCharType="begin"/>
      </w:r>
      <w:r w:rsidR="007552E2">
        <w:instrText xml:space="preserve"> SEQ Observation \* ARABIC </w:instrText>
      </w:r>
      <w:r w:rsidR="007552E2">
        <w:fldChar w:fldCharType="separate"/>
      </w:r>
      <w:r w:rsidR="00ED57BA">
        <w:rPr>
          <w:noProof/>
        </w:rPr>
        <w:t>4</w:t>
      </w:r>
      <w:r w:rsidR="007552E2">
        <w:rPr>
          <w:noProof/>
        </w:rPr>
        <w:fldChar w:fldCharType="end"/>
      </w:r>
      <w:r>
        <w:t xml:space="preserve">: DCI Format 1-1 indicating BWP switch is considered to be in effect from </w:t>
      </w:r>
      <w:r w:rsidR="00431923" w:rsidRPr="00AF1A70">
        <w:t>the end of last OFDM symbol of the PDCCH carrying DCI</w:t>
      </w:r>
      <w:r>
        <w:t xml:space="preserve"> to the end of the last symbol of the expected HARQ-ACK corresponding to the PDSCH scheduled by the DCI.</w:t>
      </w:r>
      <w:bookmarkEnd w:id="18"/>
    </w:p>
    <w:p w14:paraId="79E78737" w14:textId="3F7AAE23" w:rsidR="00EF1EED" w:rsidRPr="00EF1EED" w:rsidRDefault="00EF1EED" w:rsidP="00EF1EED">
      <w:pPr>
        <w:pStyle w:val="Caption"/>
      </w:pPr>
      <w:bookmarkStart w:id="19" w:name="_Toc513834884"/>
      <w:r>
        <w:t xml:space="preserve">Observation </w:t>
      </w:r>
      <w:r w:rsidR="007552E2">
        <w:fldChar w:fldCharType="begin"/>
      </w:r>
      <w:r w:rsidR="007552E2">
        <w:instrText xml:space="preserve"> SEQ Observation \* ARABIC </w:instrText>
      </w:r>
      <w:r w:rsidR="007552E2">
        <w:fldChar w:fldCharType="separate"/>
      </w:r>
      <w:r w:rsidR="00ED57BA">
        <w:rPr>
          <w:noProof/>
        </w:rPr>
        <w:t>5</w:t>
      </w:r>
      <w:r w:rsidR="007552E2">
        <w:rPr>
          <w:noProof/>
        </w:rPr>
        <w:fldChar w:fldCharType="end"/>
      </w:r>
      <w:r>
        <w:t xml:space="preserve">: DCI Format 0-1 indicating BWP switch is considered to be in effect from </w:t>
      </w:r>
      <w:r w:rsidR="00431923" w:rsidRPr="00AF1A70">
        <w:t>the end of last OFDM symbol of the PDCCH carrying the DCI</w:t>
      </w:r>
      <w:r>
        <w:t xml:space="preserve"> to the end of the last symbol of the expected PUSCH scheduled by the DCI.</w:t>
      </w:r>
      <w:bookmarkEnd w:id="19"/>
    </w:p>
    <w:p w14:paraId="662F7046" w14:textId="7094EA7C" w:rsidR="009713ED" w:rsidRDefault="003C22CA" w:rsidP="009713ED">
      <w:r>
        <w:t>When a BWP switch DCI for any link direction is in effect, UE does not expect to receive another BWP switch DCI for the same or the other link direction.</w:t>
      </w:r>
    </w:p>
    <w:p w14:paraId="6A1A783D" w14:textId="76C252B5" w:rsidR="003C22CA" w:rsidRDefault="009713ED" w:rsidP="003C22CA">
      <w:pPr>
        <w:pStyle w:val="Caption"/>
        <w:rPr>
          <w:lang w:val="en-GB"/>
        </w:rPr>
      </w:pPr>
      <w:bookmarkStart w:id="20" w:name="_Ref510743590"/>
      <w:bookmarkStart w:id="21" w:name="_Toc513834889"/>
      <w:r>
        <w:t xml:space="preserve">Proposal </w:t>
      </w:r>
      <w:r w:rsidR="007552E2">
        <w:fldChar w:fldCharType="begin"/>
      </w:r>
      <w:r w:rsidR="007552E2">
        <w:instrText xml:space="preserve"> SEQ Proposal \* ARABIC </w:instrText>
      </w:r>
      <w:r w:rsidR="007552E2">
        <w:fldChar w:fldCharType="separate"/>
      </w:r>
      <w:r w:rsidR="00ED57BA">
        <w:rPr>
          <w:noProof/>
        </w:rPr>
        <w:t>5</w:t>
      </w:r>
      <w:r w:rsidR="007552E2">
        <w:rPr>
          <w:noProof/>
        </w:rPr>
        <w:fldChar w:fldCharType="end"/>
      </w:r>
      <w:bookmarkEnd w:id="20"/>
      <w:r>
        <w:t xml:space="preserve">: </w:t>
      </w:r>
      <w:r w:rsidR="003C22CA" w:rsidRPr="003C22CA">
        <w:rPr>
          <w:rFonts w:ascii="Qualcomm Office Regular" w:eastAsiaTheme="minorEastAsia" w:hAnsi="Qualcomm Office Regular" w:cstheme="minorBidi"/>
          <w:b w:val="0"/>
          <w:color w:val="000000" w:themeColor="text1"/>
          <w:kern w:val="24"/>
          <w:sz w:val="40"/>
          <w:szCs w:val="40"/>
          <w:lang w:val="en-GB"/>
        </w:rPr>
        <w:t xml:space="preserve"> </w:t>
      </w:r>
      <w:r w:rsidR="00726088" w:rsidRPr="003C22CA">
        <w:rPr>
          <w:lang w:val="en-GB"/>
        </w:rPr>
        <w:t>For a cell,</w:t>
      </w:r>
      <w:r w:rsidR="003C22CA">
        <w:rPr>
          <w:lang w:val="en-GB"/>
        </w:rPr>
        <w:t xml:space="preserve"> a</w:t>
      </w:r>
      <w:r w:rsidR="00726088" w:rsidRPr="003C22CA">
        <w:rPr>
          <w:lang w:val="en-GB"/>
        </w:rPr>
        <w:t xml:space="preserve"> UE is not expected to receive a 2</w:t>
      </w:r>
      <w:r w:rsidR="00726088" w:rsidRPr="003C22CA">
        <w:rPr>
          <w:vertAlign w:val="superscript"/>
          <w:lang w:val="en-GB"/>
        </w:rPr>
        <w:t>nd</w:t>
      </w:r>
      <w:r w:rsidR="00726088" w:rsidRPr="003C22CA">
        <w:rPr>
          <w:lang w:val="en-GB"/>
        </w:rPr>
        <w:t xml:space="preserve"> BWP switching DCI for any link direction before it completes the transmission of HARQ-ACK corresponding to a 1</w:t>
      </w:r>
      <w:r w:rsidR="00726088" w:rsidRPr="003C22CA">
        <w:rPr>
          <w:vertAlign w:val="superscript"/>
          <w:lang w:val="en-GB"/>
        </w:rPr>
        <w:t>st</w:t>
      </w:r>
      <w:r w:rsidR="00726088" w:rsidRPr="003C22CA">
        <w:rPr>
          <w:lang w:val="en-GB"/>
        </w:rPr>
        <w:t xml:space="preserve"> BWP switching DCI</w:t>
      </w:r>
      <w:r w:rsidR="009F6863">
        <w:rPr>
          <w:lang w:val="en-GB"/>
        </w:rPr>
        <w:t xml:space="preserve"> which is for the DL direction</w:t>
      </w:r>
      <w:r w:rsidR="00726088" w:rsidRPr="003C22CA">
        <w:rPr>
          <w:lang w:val="en-GB"/>
        </w:rPr>
        <w:t>.</w:t>
      </w:r>
      <w:bookmarkEnd w:id="21"/>
    </w:p>
    <w:p w14:paraId="029DA83B" w14:textId="60F32700" w:rsidR="00815ADA" w:rsidRPr="003C22CA" w:rsidRDefault="003C22CA" w:rsidP="00A81B64">
      <w:pPr>
        <w:pStyle w:val="Caption"/>
      </w:pPr>
      <w:bookmarkStart w:id="22" w:name="_Toc513834890"/>
      <w:r>
        <w:t xml:space="preserve">Proposal </w:t>
      </w:r>
      <w:r>
        <w:fldChar w:fldCharType="begin"/>
      </w:r>
      <w:r>
        <w:instrText xml:space="preserve"> SEQ Proposal \* ARABIC </w:instrText>
      </w:r>
      <w:r>
        <w:fldChar w:fldCharType="separate"/>
      </w:r>
      <w:r w:rsidR="00ED57BA">
        <w:rPr>
          <w:noProof/>
        </w:rPr>
        <w:t>6</w:t>
      </w:r>
      <w:r>
        <w:fldChar w:fldCharType="end"/>
      </w:r>
      <w:r>
        <w:t xml:space="preserve">: For a cell, </w:t>
      </w:r>
      <w:r>
        <w:rPr>
          <w:lang w:val="en-GB"/>
        </w:rPr>
        <w:t>a</w:t>
      </w:r>
      <w:r w:rsidR="00726088" w:rsidRPr="003C22CA">
        <w:rPr>
          <w:lang w:val="en-GB"/>
        </w:rPr>
        <w:t xml:space="preserve"> UE is not expected to receive a 2</w:t>
      </w:r>
      <w:r w:rsidR="00726088" w:rsidRPr="003C22CA">
        <w:rPr>
          <w:vertAlign w:val="superscript"/>
          <w:lang w:val="en-GB"/>
        </w:rPr>
        <w:t>nd</w:t>
      </w:r>
      <w:r w:rsidR="00726088" w:rsidRPr="003C22CA">
        <w:rPr>
          <w:lang w:val="en-GB"/>
        </w:rPr>
        <w:t xml:space="preserve"> BWP switching DCI for any link direction before it completes the transmission of PUSCH corresponding to a 1</w:t>
      </w:r>
      <w:r w:rsidR="00726088" w:rsidRPr="003C22CA">
        <w:rPr>
          <w:vertAlign w:val="superscript"/>
          <w:lang w:val="en-GB"/>
        </w:rPr>
        <w:t>st</w:t>
      </w:r>
      <w:r w:rsidR="00726088" w:rsidRPr="003C22CA">
        <w:rPr>
          <w:lang w:val="en-GB"/>
        </w:rPr>
        <w:t xml:space="preserve"> BWP switching DCI</w:t>
      </w:r>
      <w:r w:rsidR="009F6863">
        <w:rPr>
          <w:lang w:val="en-GB"/>
        </w:rPr>
        <w:t xml:space="preserve"> which is for the UL direction</w:t>
      </w:r>
      <w:r w:rsidR="00726088" w:rsidRPr="003C22CA">
        <w:rPr>
          <w:lang w:val="en-GB"/>
        </w:rPr>
        <w:t>.</w:t>
      </w:r>
      <w:bookmarkEnd w:id="22"/>
    </w:p>
    <w:p w14:paraId="44F30B3D" w14:textId="156A827C" w:rsidR="009713ED" w:rsidRDefault="009713ED" w:rsidP="009713ED">
      <w:pPr>
        <w:pStyle w:val="Caption"/>
      </w:pPr>
    </w:p>
    <w:p w14:paraId="28A33DC5" w14:textId="3EDDF442" w:rsidR="00AB0E94" w:rsidRDefault="00AB0E94" w:rsidP="009713ED">
      <w:pPr>
        <w:rPr>
          <w:lang w:val="en-GB"/>
        </w:rPr>
      </w:pPr>
      <w:r>
        <w:rPr>
          <w:lang w:val="en-GB"/>
        </w:rPr>
        <w:t>Per above proposals, if DL BWP switch DCI is transmitted in slot n, UE is not expected to receive UL BWP switch DCI in slot n+1</w:t>
      </w:r>
      <w:r w:rsidR="00D93D81">
        <w:rPr>
          <w:lang w:val="en-GB"/>
        </w:rPr>
        <w:t xml:space="preserve"> or later</w:t>
      </w:r>
      <w:r>
        <w:rPr>
          <w:lang w:val="en-GB"/>
        </w:rPr>
        <w:t xml:space="preserve"> </w:t>
      </w:r>
      <w:r w:rsidR="000756A2">
        <w:rPr>
          <w:lang w:val="en-GB"/>
        </w:rPr>
        <w:t xml:space="preserve">and </w:t>
      </w:r>
      <w:r>
        <w:rPr>
          <w:lang w:val="en-GB"/>
        </w:rPr>
        <w:t>until the DL BWP switch DCI is no longer in effect</w:t>
      </w:r>
      <w:r w:rsidR="00D93D81">
        <w:rPr>
          <w:lang w:val="en-GB"/>
        </w:rPr>
        <w:t xml:space="preserve"> (i.e. end of ACK transmission)</w:t>
      </w:r>
      <w:r>
        <w:rPr>
          <w:lang w:val="en-GB"/>
        </w:rPr>
        <w:t>.</w:t>
      </w:r>
      <w:r w:rsidR="00333B13">
        <w:rPr>
          <w:lang w:val="en-GB"/>
        </w:rPr>
        <w:t xml:space="preserve"> Similarly, if a UL BWP switch DCI is already in effect</w:t>
      </w:r>
      <w:r w:rsidR="00D93D81">
        <w:rPr>
          <w:lang w:val="en-GB"/>
        </w:rPr>
        <w:t xml:space="preserve"> (i.e. before end of PUSCH transmission)</w:t>
      </w:r>
      <w:r w:rsidR="00333B13">
        <w:rPr>
          <w:lang w:val="en-GB"/>
        </w:rPr>
        <w:t xml:space="preserve">, UE is not expected to receive a DL BWP switch DCI. For example, the following </w:t>
      </w:r>
      <w:r w:rsidR="00AA7312">
        <w:rPr>
          <w:lang w:val="en-GB"/>
        </w:rPr>
        <w:t xml:space="preserve">conflict </w:t>
      </w:r>
      <w:r w:rsidR="00333B13">
        <w:rPr>
          <w:lang w:val="en-GB"/>
        </w:rPr>
        <w:t xml:space="preserve">scenario would be </w:t>
      </w:r>
      <w:r w:rsidR="004C7798">
        <w:rPr>
          <w:lang w:val="en-GB"/>
        </w:rPr>
        <w:t xml:space="preserve">disallowed </w:t>
      </w:r>
      <w:r w:rsidR="00333B13">
        <w:rPr>
          <w:lang w:val="en-GB"/>
        </w:rPr>
        <w:t>by above proposals.</w:t>
      </w:r>
    </w:p>
    <w:p w14:paraId="013D885C" w14:textId="4C8E64EF" w:rsidR="000756A2" w:rsidRDefault="00972FC5" w:rsidP="00D35815">
      <w:pPr>
        <w:jc w:val="center"/>
        <w:rPr>
          <w:lang w:val="en-GB"/>
        </w:rPr>
      </w:pPr>
      <w:r w:rsidRPr="00972FC5">
        <w:rPr>
          <w:noProof/>
        </w:rPr>
        <w:drawing>
          <wp:inline distT="0" distB="0" distL="0" distR="0" wp14:anchorId="0DC30DA7" wp14:editId="13CABC7C">
            <wp:extent cx="2880360" cy="21945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80360" cy="2194560"/>
                    </a:xfrm>
                    <a:prstGeom prst="rect">
                      <a:avLst/>
                    </a:prstGeom>
                  </pic:spPr>
                </pic:pic>
              </a:graphicData>
            </a:graphic>
          </wp:inline>
        </w:drawing>
      </w:r>
    </w:p>
    <w:p w14:paraId="1EB09736" w14:textId="3F1F5864" w:rsidR="009713ED" w:rsidRDefault="009713ED" w:rsidP="00A5277A">
      <w:pPr>
        <w:rPr>
          <w:lang w:val="en-GB"/>
        </w:rPr>
      </w:pPr>
    </w:p>
    <w:p w14:paraId="308ED463" w14:textId="353F0D23" w:rsidR="009713ED" w:rsidRDefault="009713ED" w:rsidP="009713ED">
      <w:pPr>
        <w:rPr>
          <w:lang w:val="en-GB"/>
        </w:rPr>
      </w:pPr>
      <w:bookmarkStart w:id="23" w:name="_Hlk510502166"/>
      <w:r>
        <w:rPr>
          <w:lang w:val="en-GB"/>
        </w:rPr>
        <w:t xml:space="preserve">BWP switch </w:t>
      </w:r>
      <w:r w:rsidR="005C3574">
        <w:rPr>
          <w:lang w:val="en-GB"/>
        </w:rPr>
        <w:t xml:space="preserve">typically </w:t>
      </w:r>
      <w:r>
        <w:rPr>
          <w:lang w:val="en-GB"/>
        </w:rPr>
        <w:t>cause</w:t>
      </w:r>
      <w:r w:rsidR="005C3574">
        <w:rPr>
          <w:lang w:val="en-GB"/>
        </w:rPr>
        <w:t>s</w:t>
      </w:r>
      <w:r>
        <w:rPr>
          <w:lang w:val="en-GB"/>
        </w:rPr>
        <w:t xml:space="preserve"> dropping of scheduled transmissions and/or feedbacks.</w:t>
      </w:r>
      <w:r w:rsidR="00156D13">
        <w:rPr>
          <w:lang w:val="en-GB"/>
        </w:rPr>
        <w:t xml:space="preserve"> </w:t>
      </w:r>
      <w:r w:rsidR="00D37DB7">
        <w:rPr>
          <w:lang w:val="en-GB"/>
        </w:rPr>
        <w:t>We have identified at least the following areas:</w:t>
      </w:r>
    </w:p>
    <w:p w14:paraId="7AAE1D0D" w14:textId="3D5610F6" w:rsidR="008C69D9" w:rsidRDefault="008C69D9" w:rsidP="008C69D9">
      <w:pPr>
        <w:pStyle w:val="Caption"/>
      </w:pPr>
      <w:bookmarkStart w:id="24" w:name="_Toc513834891"/>
      <w:r>
        <w:lastRenderedPageBreak/>
        <w:t xml:space="preserve">Proposal </w:t>
      </w:r>
      <w:r w:rsidR="007552E2">
        <w:fldChar w:fldCharType="begin"/>
      </w:r>
      <w:r w:rsidR="007552E2">
        <w:instrText xml:space="preserve"> SEQ Proposal \* ARABIC </w:instrText>
      </w:r>
      <w:r w:rsidR="007552E2">
        <w:fldChar w:fldCharType="separate"/>
      </w:r>
      <w:r w:rsidR="00ED57BA">
        <w:rPr>
          <w:noProof/>
        </w:rPr>
        <w:t>7</w:t>
      </w:r>
      <w:r w:rsidR="007552E2">
        <w:rPr>
          <w:noProof/>
        </w:rPr>
        <w:fldChar w:fldCharType="end"/>
      </w:r>
      <w:r>
        <w:t xml:space="preserve">: </w:t>
      </w:r>
      <w:r w:rsidR="007F3225">
        <w:t xml:space="preserve">For unpaired spectrum operation, </w:t>
      </w:r>
      <w:r>
        <w:t xml:space="preserve">SRS request </w:t>
      </w:r>
      <w:r w:rsidR="007261C5">
        <w:t xml:space="preserve">triggered by DCI Format 0-1 or 1-1 </w:t>
      </w:r>
      <w:r>
        <w:t xml:space="preserve">is dropped </w:t>
      </w:r>
      <w:r w:rsidR="007E178E">
        <w:t xml:space="preserve">during or </w:t>
      </w:r>
      <w:r>
        <w:t>after a BWP switch.</w:t>
      </w:r>
      <w:bookmarkEnd w:id="24"/>
    </w:p>
    <w:p w14:paraId="150EB678" w14:textId="77777777" w:rsidR="008A2871" w:rsidRPr="008C69D9" w:rsidRDefault="008A2871" w:rsidP="008C69D9">
      <w:pPr>
        <w:pStyle w:val="Caption"/>
      </w:pPr>
    </w:p>
    <w:bookmarkEnd w:id="23"/>
    <w:p w14:paraId="0AE22650" w14:textId="7758BA51" w:rsidR="007F3225" w:rsidRDefault="007F3225" w:rsidP="009713ED">
      <w:pPr>
        <w:rPr>
          <w:lang w:val="en-GB"/>
        </w:rPr>
      </w:pPr>
      <w:r w:rsidRPr="007F3225">
        <w:rPr>
          <w:lang w:val="en-GB"/>
        </w:rPr>
        <w:t>In RAN1#92bis, the CSI reporting up on BWP switching was discussed</w:t>
      </w:r>
      <w:r>
        <w:rPr>
          <w:lang w:val="en-GB"/>
        </w:rPr>
        <w:t xml:space="preserve"> in MIMO session</w:t>
      </w:r>
      <w:r w:rsidRPr="007F3225">
        <w:rPr>
          <w:lang w:val="en-GB"/>
        </w:rPr>
        <w:t xml:space="preserve">.  It was agreed that when DL BWP is switched, the active PUCCH-based SP CSI reporting stays in its activated state but is suspended until the DL BWP is switched back, whereon it resumes.  But the UE </w:t>
      </w:r>
      <w:proofErr w:type="spellStart"/>
      <w:r w:rsidRPr="007F3225">
        <w:rPr>
          <w:lang w:val="en-GB"/>
        </w:rPr>
        <w:t>behavior</w:t>
      </w:r>
      <w:proofErr w:type="spellEnd"/>
      <w:r w:rsidRPr="007F3225">
        <w:rPr>
          <w:lang w:val="en-GB"/>
        </w:rPr>
        <w:t xml:space="preserve"> for other types of CSI reporting </w:t>
      </w:r>
      <w:r>
        <w:rPr>
          <w:lang w:val="en-GB"/>
        </w:rPr>
        <w:t>on</w:t>
      </w:r>
      <w:r w:rsidRPr="007F3225">
        <w:rPr>
          <w:lang w:val="en-GB"/>
        </w:rPr>
        <w:t xml:space="preserve"> BWP switching needs to be clarified.</w:t>
      </w:r>
    </w:p>
    <w:p w14:paraId="74CFF91D" w14:textId="7F0A156C" w:rsidR="007F3225" w:rsidRDefault="007F3225" w:rsidP="009713ED">
      <w:pPr>
        <w:rPr>
          <w:lang w:val="en-GB"/>
        </w:rPr>
      </w:pPr>
      <w:r>
        <w:rPr>
          <w:lang w:val="en-GB"/>
        </w:rPr>
        <w:t>The following proposals are cross-referenced from a companion contribution, Section 8 “</w:t>
      </w:r>
      <w:r>
        <w:t>CSI reporting vs BWP switching</w:t>
      </w:r>
      <w:r>
        <w:rPr>
          <w:lang w:val="en-GB"/>
        </w:rPr>
        <w:t>” of</w:t>
      </w:r>
      <w:r w:rsidR="00785050">
        <w:rPr>
          <w:lang w:val="en-GB"/>
        </w:rPr>
        <w:t xml:space="preserve"> </w:t>
      </w:r>
      <w:r w:rsidR="00785050">
        <w:rPr>
          <w:lang w:val="en-GB"/>
        </w:rPr>
        <w:fldChar w:fldCharType="begin"/>
      </w:r>
      <w:r w:rsidR="00785050">
        <w:rPr>
          <w:lang w:val="en-GB"/>
        </w:rPr>
        <w:instrText xml:space="preserve"> REF _Ref513793488 \r \h </w:instrText>
      </w:r>
      <w:r w:rsidR="00785050">
        <w:rPr>
          <w:lang w:val="en-GB"/>
        </w:rPr>
      </w:r>
      <w:r w:rsidR="00785050">
        <w:rPr>
          <w:lang w:val="en-GB"/>
        </w:rPr>
        <w:fldChar w:fldCharType="separate"/>
      </w:r>
      <w:r w:rsidR="00ED57BA">
        <w:rPr>
          <w:lang w:val="en-GB"/>
        </w:rPr>
        <w:t>[11]</w:t>
      </w:r>
      <w:r w:rsidR="00785050">
        <w:rPr>
          <w:lang w:val="en-GB"/>
        </w:rPr>
        <w:fldChar w:fldCharType="end"/>
      </w:r>
      <w:r>
        <w:rPr>
          <w:lang w:val="en-GB"/>
        </w:rPr>
        <w:t>.</w:t>
      </w:r>
    </w:p>
    <w:p w14:paraId="16FEA06B" w14:textId="49764E63" w:rsidR="009068B5" w:rsidRDefault="007F3225" w:rsidP="007F3225">
      <w:pPr>
        <w:pStyle w:val="Caption"/>
      </w:pPr>
      <w:bookmarkStart w:id="25" w:name="_Toc513834892"/>
      <w:r>
        <w:t xml:space="preserve">Proposal </w:t>
      </w:r>
      <w:r>
        <w:fldChar w:fldCharType="begin"/>
      </w:r>
      <w:r>
        <w:instrText xml:space="preserve"> SEQ Proposal \* ARABIC </w:instrText>
      </w:r>
      <w:r>
        <w:fldChar w:fldCharType="separate"/>
      </w:r>
      <w:r w:rsidR="00ED57BA">
        <w:rPr>
          <w:noProof/>
        </w:rPr>
        <w:t>8</w:t>
      </w:r>
      <w:r>
        <w:fldChar w:fldCharType="end"/>
      </w:r>
      <w:r>
        <w:t xml:space="preserve">: </w:t>
      </w:r>
      <w:r w:rsidRPr="007F3225">
        <w:t>Upon DL BWP switch, the activated PUSCH-based SP-CSI report setting transitions to inactivated state. New activation message is required to transition the SP-CSI report setting back to activated state</w:t>
      </w:r>
      <w:r>
        <w:t>.</w:t>
      </w:r>
      <w:bookmarkEnd w:id="25"/>
    </w:p>
    <w:p w14:paraId="1573DE94" w14:textId="42F83E23" w:rsidR="007F3225" w:rsidRDefault="007F3225" w:rsidP="007F3225">
      <w:pPr>
        <w:pStyle w:val="Caption"/>
      </w:pPr>
      <w:bookmarkStart w:id="26" w:name="_Toc513834893"/>
      <w:r>
        <w:t xml:space="preserve">Proposal </w:t>
      </w:r>
      <w:r>
        <w:fldChar w:fldCharType="begin"/>
      </w:r>
      <w:r>
        <w:instrText xml:space="preserve"> SEQ Proposal \* ARABIC </w:instrText>
      </w:r>
      <w:r>
        <w:fldChar w:fldCharType="separate"/>
      </w:r>
      <w:r w:rsidR="00ED57BA">
        <w:rPr>
          <w:noProof/>
        </w:rPr>
        <w:t>9</w:t>
      </w:r>
      <w:r>
        <w:fldChar w:fldCharType="end"/>
      </w:r>
      <w:r>
        <w:t xml:space="preserve">: </w:t>
      </w:r>
      <w:r w:rsidRPr="007F3225">
        <w:t>Upon UL BWP switch, the activated PUSCH-based SP-CSI report setting transitions to inactivated state. New activation message is required to transition the SP-CSI report setting back to activated state</w:t>
      </w:r>
      <w:r>
        <w:t>.</w:t>
      </w:r>
      <w:bookmarkEnd w:id="26"/>
    </w:p>
    <w:p w14:paraId="539C19EF" w14:textId="77777777" w:rsidR="007F3225" w:rsidRDefault="007F3225" w:rsidP="009713ED">
      <w:pPr>
        <w:rPr>
          <w:lang w:val="en-GB"/>
        </w:rPr>
      </w:pPr>
      <w:bookmarkStart w:id="27" w:name="_GoBack"/>
      <w:bookmarkEnd w:id="27"/>
    </w:p>
    <w:p w14:paraId="1D5D8736" w14:textId="77777777" w:rsidR="00C40781" w:rsidRDefault="00C40781" w:rsidP="00D35815">
      <w:pPr>
        <w:pStyle w:val="Heading3"/>
      </w:pPr>
      <w:r>
        <w:t>QCL Assumptions during BWP Switching</w:t>
      </w:r>
    </w:p>
    <w:p w14:paraId="269D048B" w14:textId="3AF0F668" w:rsidR="009068B5" w:rsidRDefault="009068B5" w:rsidP="00C40781">
      <w:pPr>
        <w:rPr>
          <w:szCs w:val="22"/>
        </w:rPr>
      </w:pPr>
      <w:r w:rsidRPr="009068B5">
        <w:rPr>
          <w:szCs w:val="22"/>
        </w:rPr>
        <w:t>(</w:t>
      </w:r>
      <w:r w:rsidRPr="00D35815">
        <w:rPr>
          <w:i/>
          <w:szCs w:val="22"/>
        </w:rPr>
        <w:t>Note: This is section is identical to the section with the same name in</w:t>
      </w:r>
      <w:r w:rsidR="008B3B71">
        <w:rPr>
          <w:szCs w:val="22"/>
        </w:rPr>
        <w:t xml:space="preserve"> </w:t>
      </w:r>
      <w:r w:rsidR="008B3B71">
        <w:rPr>
          <w:szCs w:val="22"/>
        </w:rPr>
        <w:fldChar w:fldCharType="begin"/>
      </w:r>
      <w:r w:rsidR="008B3B71">
        <w:rPr>
          <w:szCs w:val="22"/>
        </w:rPr>
        <w:instrText xml:space="preserve"> REF _Ref510807220 \r \h </w:instrText>
      </w:r>
      <w:r w:rsidR="008B3B71">
        <w:rPr>
          <w:szCs w:val="22"/>
        </w:rPr>
      </w:r>
      <w:r w:rsidR="008B3B71">
        <w:rPr>
          <w:szCs w:val="22"/>
        </w:rPr>
        <w:fldChar w:fldCharType="separate"/>
      </w:r>
      <w:r w:rsidR="00ED57BA">
        <w:rPr>
          <w:szCs w:val="22"/>
        </w:rPr>
        <w:t>[8]</w:t>
      </w:r>
      <w:r w:rsidR="008B3B71">
        <w:rPr>
          <w:szCs w:val="22"/>
        </w:rPr>
        <w:fldChar w:fldCharType="end"/>
      </w:r>
      <w:r w:rsidR="008B3B71">
        <w:rPr>
          <w:szCs w:val="22"/>
        </w:rPr>
        <w:t>)</w:t>
      </w:r>
    </w:p>
    <w:p w14:paraId="2818F231" w14:textId="163B3423" w:rsidR="00C40781" w:rsidRDefault="00C40781" w:rsidP="00C40781">
      <w:pPr>
        <w:rPr>
          <w:szCs w:val="22"/>
        </w:rPr>
      </w:pPr>
      <w:r>
        <w:rPr>
          <w:szCs w:val="22"/>
        </w:rPr>
        <w:t xml:space="preserve">For DCI based BWP switching, it is </w:t>
      </w:r>
      <w:r w:rsidR="00C2295E" w:rsidRPr="00C2295E">
        <w:rPr>
          <w:szCs w:val="22"/>
        </w:rPr>
        <w:t>not very clear the QCL assumptions for reception of PDSCH in the new BWP. Notice that the QCL parameters associated with the RS in the new BWP may be different from the old BWP. If we derive QCL assumptions from the new BWP, the UE may not have enough time to measure RS in the new BWP to derive delay/doppler/spatial parameters before reception of PDSCH. For instance, during the very first PDSCH in the new BWP as shown in the figure below, the UE may have to rely on the old BWP for QCL assumptions</w:t>
      </w:r>
      <w:r>
        <w:rPr>
          <w:szCs w:val="22"/>
        </w:rPr>
        <w:t xml:space="preserve">. </w:t>
      </w:r>
    </w:p>
    <w:p w14:paraId="601017E4" w14:textId="68152384" w:rsidR="00C40781" w:rsidRPr="00FE553F" w:rsidRDefault="00C2295E" w:rsidP="00C40781">
      <w:pPr>
        <w:rPr>
          <w:szCs w:val="22"/>
        </w:rPr>
      </w:pPr>
      <w:r w:rsidRPr="00C2295E">
        <w:rPr>
          <w:szCs w:val="22"/>
        </w:rPr>
        <w:t>As shown in the figure below, for the first few slots before the reception of the first periodic RS in the new BWP, the UE may have to rely on QCL assumptions from the old BWP for control/data reception. In addition, the UE may require additional time to process RS in the new BWP and may require multiple such RS occasions to obtain a better estimate for the QCL parameters in the new BWP. To satisfy these requirements our proposal is to specify a Transition window in the new BWP as shown in the figure. During the transition window, the UE may obtain the QCL assumptions based on the RS in the old BWP. During the transition window the UE can filter the new periodic RS to obtain a better accurate estimate of the various QCL parameters. After the Transition window the UE may receive the PDSCH in the new BWP based on the QCL derived from the RS in the new BWP</w:t>
      </w:r>
      <w:r w:rsidR="00C40781">
        <w:rPr>
          <w:szCs w:val="22"/>
        </w:rPr>
        <w:t xml:space="preserve">. </w:t>
      </w:r>
    </w:p>
    <w:p w14:paraId="64717AB7" w14:textId="77777777" w:rsidR="00C40781" w:rsidRDefault="00C40781" w:rsidP="00C40781">
      <w:pPr>
        <w:rPr>
          <w:lang w:eastAsia="x-none"/>
        </w:rPr>
      </w:pPr>
      <w:r w:rsidRPr="005E68C7">
        <w:rPr>
          <w:lang w:eastAsia="x-none"/>
        </w:rPr>
        <w:object w:dxaOrig="22890" w:dyaOrig="6990" w14:anchorId="31C99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85pt;height:158.95pt" o:ole="">
            <v:imagedata r:id="rId24" o:title=""/>
          </v:shape>
          <o:OLEObject Type="Embed" ProgID="Visio.Drawing.11" ShapeID="_x0000_i1025" DrawAspect="Content" ObjectID="_1587580070" r:id="rId25"/>
        </w:object>
      </w:r>
    </w:p>
    <w:p w14:paraId="39E4CDB0" w14:textId="77777777" w:rsidR="00C2295E" w:rsidRDefault="00C2295E" w:rsidP="00C2295E">
      <w:r>
        <w:t xml:space="preserve">The TCI states </w:t>
      </w:r>
      <w:proofErr w:type="spellStart"/>
      <w:r>
        <w:t>signalled</w:t>
      </w:r>
      <w:proofErr w:type="spellEnd"/>
      <w:r>
        <w:t xml:space="preserve"> to receive PDSCH in the new BWP shall be interpreted accordingly. For Control Channel QCL, a simple rule can be defined to map the QCL for control in the new BWP with the old BWP. We can map the TCI state for PDCCH in the new BWP, based on a default TCI Control TCI state in the old BWP. Whenever there is a mismatch in the N-bit TCI indicator between the old BWP and new BWP, the N bits can be discarded and the QCL assumptions interpreted accordingly based on the old BWP during the transition window.</w:t>
      </w:r>
    </w:p>
    <w:p w14:paraId="1F5A3BAB" w14:textId="77777777" w:rsidR="00C40781" w:rsidRDefault="00C40781" w:rsidP="00C40781">
      <w:r>
        <w:t>Based on the above discussions we have the following proposal.</w:t>
      </w:r>
    </w:p>
    <w:p w14:paraId="63AFCB49" w14:textId="48C63E36" w:rsidR="00C40781" w:rsidRPr="00D35815" w:rsidRDefault="00C40781" w:rsidP="00C40781">
      <w:pPr>
        <w:pStyle w:val="Caption"/>
        <w:rPr>
          <w:b w:val="0"/>
        </w:rPr>
      </w:pPr>
      <w:bookmarkStart w:id="28" w:name="_Toc513834894"/>
      <w:r>
        <w:t xml:space="preserve">Proposal </w:t>
      </w:r>
      <w:r w:rsidR="007552E2">
        <w:fldChar w:fldCharType="begin"/>
      </w:r>
      <w:r w:rsidR="007552E2">
        <w:instrText xml:space="preserve"> SEQ Proposal \* ARABIC </w:instrText>
      </w:r>
      <w:r w:rsidR="007552E2">
        <w:fldChar w:fldCharType="separate"/>
      </w:r>
      <w:r w:rsidR="00ED57BA">
        <w:rPr>
          <w:noProof/>
        </w:rPr>
        <w:t>10</w:t>
      </w:r>
      <w:r w:rsidR="007552E2">
        <w:rPr>
          <w:noProof/>
        </w:rPr>
        <w:fldChar w:fldCharType="end"/>
      </w:r>
      <w:r>
        <w:t xml:space="preserve">: </w:t>
      </w:r>
      <w:r w:rsidR="009068B5" w:rsidRPr="009068B5">
        <w:t>A Transition Window shall be specified in the BWP switch, wherein during the Transition window the QCL assumptions for reception of DL Control and Data and transmission of UL control and Data in the new BWP are based on the QCL assumptions derived from the RSs in the old BWP</w:t>
      </w:r>
      <w:r w:rsidRPr="00D35815">
        <w:t>.</w:t>
      </w:r>
      <w:bookmarkEnd w:id="28"/>
      <w:r w:rsidRPr="00D35815">
        <w:t xml:space="preserve"> </w:t>
      </w:r>
    </w:p>
    <w:p w14:paraId="6A16AA40" w14:textId="167026DC" w:rsidR="00C40781" w:rsidRPr="00B71A00" w:rsidRDefault="00C40781" w:rsidP="00C40781">
      <w:pPr>
        <w:pStyle w:val="Caption"/>
        <w:rPr>
          <w:b w:val="0"/>
          <w:i/>
        </w:rPr>
      </w:pPr>
      <w:bookmarkStart w:id="29" w:name="_Toc513834895"/>
      <w:r>
        <w:lastRenderedPageBreak/>
        <w:t xml:space="preserve">Proposal </w:t>
      </w:r>
      <w:r w:rsidR="007552E2">
        <w:fldChar w:fldCharType="begin"/>
      </w:r>
      <w:r w:rsidR="007552E2">
        <w:instrText xml:space="preserve"> SEQ Proposal \* ARABIC </w:instrText>
      </w:r>
      <w:r w:rsidR="007552E2">
        <w:fldChar w:fldCharType="separate"/>
      </w:r>
      <w:r w:rsidR="00ED57BA">
        <w:rPr>
          <w:noProof/>
        </w:rPr>
        <w:t>11</w:t>
      </w:r>
      <w:r w:rsidR="007552E2">
        <w:rPr>
          <w:noProof/>
        </w:rPr>
        <w:fldChar w:fldCharType="end"/>
      </w:r>
      <w:r>
        <w:t xml:space="preserve">: </w:t>
      </w:r>
      <w:r w:rsidR="009068B5" w:rsidRPr="009068B5">
        <w:t>A simple rule can be specified to interpret the TCI states for Control/Data during the Transition Window. Transition window can be defined to have a length spanning the start of reception in the new BWP to the first RS transmission occasion in the new BWP</w:t>
      </w:r>
      <w:r w:rsidRPr="00D35815">
        <w:t>.</w:t>
      </w:r>
      <w:bookmarkEnd w:id="29"/>
    </w:p>
    <w:p w14:paraId="4828B653" w14:textId="77777777" w:rsidR="00C40781" w:rsidRPr="009713ED" w:rsidRDefault="00C40781" w:rsidP="009713ED">
      <w:pPr>
        <w:rPr>
          <w:lang w:val="en-GB"/>
        </w:rPr>
      </w:pPr>
    </w:p>
    <w:p w14:paraId="48664CAD" w14:textId="41B220B6" w:rsidR="005C6502" w:rsidRDefault="005C6502" w:rsidP="002B15CF">
      <w:pPr>
        <w:pStyle w:val="Heading3"/>
      </w:pPr>
      <w:bookmarkStart w:id="30" w:name="_Ref506512228"/>
      <w:bookmarkEnd w:id="17"/>
      <w:r>
        <w:t>CSI Measurement and SRS</w:t>
      </w:r>
      <w:bookmarkEnd w:id="30"/>
    </w:p>
    <w:p w14:paraId="59221559" w14:textId="605EE56A" w:rsidR="00F6083E" w:rsidRDefault="00F6083E" w:rsidP="005C6502">
      <w:pPr>
        <w:rPr>
          <w:lang w:val="en-GB"/>
        </w:rPr>
      </w:pPr>
      <w:r>
        <w:rPr>
          <w:lang w:val="en-GB"/>
        </w:rPr>
        <w:t>(</w:t>
      </w:r>
      <w:r w:rsidRPr="00D35815">
        <w:rPr>
          <w:i/>
          <w:lang w:val="en-GB"/>
        </w:rPr>
        <w:t xml:space="preserve">This section is based on resubmission of </w:t>
      </w:r>
      <w:r w:rsidR="00AB426C" w:rsidRPr="00D35815">
        <w:rPr>
          <w:i/>
        </w:rPr>
        <w:t>R1-1802844</w:t>
      </w:r>
      <w:r>
        <w:rPr>
          <w:lang w:val="en-GB"/>
        </w:rPr>
        <w:t>)</w:t>
      </w:r>
    </w:p>
    <w:p w14:paraId="77482349" w14:textId="67BA80D2" w:rsidR="005C6502" w:rsidRDefault="005C6502" w:rsidP="005C6502">
      <w:pPr>
        <w:rPr>
          <w:lang w:val="en-GB"/>
        </w:rPr>
      </w:pPr>
      <w:r>
        <w:rPr>
          <w:lang w:val="en-GB"/>
        </w:rPr>
        <w:t>In RAN1 #</w:t>
      </w:r>
      <w:r w:rsidR="008B252A">
        <w:rPr>
          <w:lang w:val="en-GB"/>
        </w:rPr>
        <w:t>91</w:t>
      </w:r>
      <w:r>
        <w:rPr>
          <w:lang w:val="en-GB"/>
        </w:rPr>
        <w:t>, the follow agreement as made</w:t>
      </w:r>
      <w:r w:rsidR="004B235E">
        <w:rPr>
          <w:lang w:val="en-GB"/>
        </w:rPr>
        <w:t xml:space="preserve"> </w:t>
      </w:r>
      <w:r w:rsidR="004B235E">
        <w:rPr>
          <w:lang w:val="en-GB"/>
        </w:rPr>
        <w:fldChar w:fldCharType="begin"/>
      </w:r>
      <w:r w:rsidR="004B235E">
        <w:rPr>
          <w:lang w:val="en-GB"/>
        </w:rPr>
        <w:instrText xml:space="preserve"> REF _Ref506575220 \r \h </w:instrText>
      </w:r>
      <w:r w:rsidR="004B235E">
        <w:rPr>
          <w:lang w:val="en-GB"/>
        </w:rPr>
      </w:r>
      <w:r w:rsidR="004B235E">
        <w:rPr>
          <w:lang w:val="en-GB"/>
        </w:rPr>
        <w:fldChar w:fldCharType="separate"/>
      </w:r>
      <w:r w:rsidR="00ED57BA">
        <w:rPr>
          <w:lang w:val="en-GB"/>
        </w:rPr>
        <w:t>[1]</w:t>
      </w:r>
      <w:r w:rsidR="004B235E">
        <w:rPr>
          <w:lang w:val="en-GB"/>
        </w:rPr>
        <w:fldChar w:fldCharType="end"/>
      </w:r>
      <w:r>
        <w:rPr>
          <w:lang w:val="en-GB"/>
        </w:rPr>
        <w:t>:</w:t>
      </w:r>
    </w:p>
    <w:p w14:paraId="5BEFE249" w14:textId="31729BC6" w:rsidR="005C6502" w:rsidRDefault="008B252A" w:rsidP="008B252A">
      <w:pPr>
        <w:numPr>
          <w:ilvl w:val="0"/>
          <w:numId w:val="6"/>
        </w:numPr>
        <w:overflowPunct/>
        <w:autoSpaceDE/>
        <w:autoSpaceDN/>
        <w:adjustRightInd/>
        <w:spacing w:after="0"/>
        <w:textAlignment w:val="auto"/>
        <w:rPr>
          <w:lang w:eastAsia="zh-TW"/>
        </w:rPr>
      </w:pPr>
      <w:r>
        <w:rPr>
          <w:lang w:eastAsia="zh-TW"/>
        </w:rPr>
        <w:t>A UE is expected to perform CSI measurement only within its active DL BWP at the time when the measurement occurs</w:t>
      </w:r>
    </w:p>
    <w:p w14:paraId="14CECD81" w14:textId="35539377" w:rsidR="00962395" w:rsidRDefault="00962395" w:rsidP="00962395">
      <w:pPr>
        <w:overflowPunct/>
        <w:autoSpaceDE/>
        <w:autoSpaceDN/>
        <w:adjustRightInd/>
        <w:spacing w:after="0"/>
        <w:textAlignment w:val="auto"/>
        <w:rPr>
          <w:lang w:eastAsia="zh-TW"/>
        </w:rPr>
      </w:pPr>
      <w:r>
        <w:rPr>
          <w:lang w:eastAsia="zh-TW"/>
        </w:rPr>
        <w:t>In RAN1 #92, the following agreement was made</w:t>
      </w:r>
      <w:r w:rsidR="00D13B3F">
        <w:rPr>
          <w:lang w:eastAsia="zh-TW"/>
        </w:rPr>
        <w:t xml:space="preserve"> </w:t>
      </w:r>
      <w:r w:rsidR="00D13B3F">
        <w:rPr>
          <w:lang w:eastAsia="zh-TW"/>
        </w:rPr>
        <w:fldChar w:fldCharType="begin"/>
      </w:r>
      <w:r w:rsidR="00D13B3F">
        <w:rPr>
          <w:lang w:eastAsia="zh-TW"/>
        </w:rPr>
        <w:instrText xml:space="preserve"> REF _Ref510358192 \r \h </w:instrText>
      </w:r>
      <w:r w:rsidR="00D13B3F">
        <w:rPr>
          <w:lang w:eastAsia="zh-TW"/>
        </w:rPr>
      </w:r>
      <w:r w:rsidR="00D13B3F">
        <w:rPr>
          <w:lang w:eastAsia="zh-TW"/>
        </w:rPr>
        <w:fldChar w:fldCharType="separate"/>
      </w:r>
      <w:r w:rsidR="00ED57BA">
        <w:rPr>
          <w:lang w:eastAsia="zh-TW"/>
        </w:rPr>
        <w:t>[7]</w:t>
      </w:r>
      <w:r w:rsidR="00D13B3F">
        <w:rPr>
          <w:lang w:eastAsia="zh-TW"/>
        </w:rPr>
        <w:fldChar w:fldCharType="end"/>
      </w:r>
      <w:r>
        <w:rPr>
          <w:lang w:eastAsia="zh-TW"/>
        </w:rPr>
        <w:t xml:space="preserve"> :</w:t>
      </w:r>
    </w:p>
    <w:p w14:paraId="4EDBE21B" w14:textId="77777777" w:rsidR="00D13B3F" w:rsidRDefault="00D13B3F" w:rsidP="00962395">
      <w:pPr>
        <w:overflowPunct/>
        <w:autoSpaceDE/>
        <w:autoSpaceDN/>
        <w:adjustRightInd/>
        <w:spacing w:after="0"/>
        <w:textAlignment w:val="auto"/>
        <w:rPr>
          <w:lang w:eastAsia="zh-TW"/>
        </w:rPr>
      </w:pPr>
    </w:p>
    <w:p w14:paraId="16A04C42" w14:textId="142AFD25" w:rsidR="00962395" w:rsidRPr="00D35815" w:rsidRDefault="00962395" w:rsidP="00D35815">
      <w:pPr>
        <w:pStyle w:val="ListParagraph"/>
        <w:numPr>
          <w:ilvl w:val="0"/>
          <w:numId w:val="28"/>
        </w:numPr>
        <w:rPr>
          <w:sz w:val="12"/>
          <w:lang w:eastAsia="x-none"/>
        </w:rPr>
      </w:pPr>
      <w:r w:rsidRPr="00267109">
        <w:rPr>
          <w:lang w:eastAsia="x-none"/>
        </w:rPr>
        <w:t>SRS resource set configuration is supported per BWP. SRS is always transmitted in an active BWP within an active CC.</w:t>
      </w:r>
    </w:p>
    <w:p w14:paraId="69CDD3E5" w14:textId="77777777" w:rsidR="008B252A" w:rsidRPr="008B252A" w:rsidRDefault="008B252A" w:rsidP="008B252A">
      <w:pPr>
        <w:overflowPunct/>
        <w:autoSpaceDE/>
        <w:autoSpaceDN/>
        <w:adjustRightInd/>
        <w:spacing w:after="0"/>
        <w:textAlignment w:val="auto"/>
        <w:rPr>
          <w:lang w:eastAsia="zh-TW"/>
        </w:rPr>
      </w:pPr>
    </w:p>
    <w:p w14:paraId="6AA338E9" w14:textId="104D2A7D" w:rsidR="00835A6E" w:rsidRDefault="00AC404F" w:rsidP="005C6502">
      <w:pPr>
        <w:rPr>
          <w:lang w:val="en-GB"/>
        </w:rPr>
      </w:pPr>
      <w:r>
        <w:rPr>
          <w:lang w:val="en-GB"/>
        </w:rPr>
        <w:t xml:space="preserve">Consideration for SRS should be consistent with CSI measurement, because SRS achieves similar functionality but exploits channel reciprocity for TDD. </w:t>
      </w:r>
      <w:r w:rsidR="00D13B3F">
        <w:rPr>
          <w:lang w:val="en-GB"/>
        </w:rPr>
        <w:t>The following should be considered</w:t>
      </w:r>
      <w:r>
        <w:rPr>
          <w:lang w:val="en-GB"/>
        </w:rPr>
        <w:t>:</w:t>
      </w:r>
    </w:p>
    <w:p w14:paraId="2CD899E3" w14:textId="1C57EFB3" w:rsidR="00AC404F" w:rsidRDefault="00AC404F" w:rsidP="001575A7">
      <w:pPr>
        <w:pStyle w:val="ListParagraph"/>
        <w:numPr>
          <w:ilvl w:val="0"/>
          <w:numId w:val="7"/>
        </w:numPr>
      </w:pPr>
      <w:r>
        <w:t>SRS should correspond only to the active DL BWP</w:t>
      </w:r>
    </w:p>
    <w:p w14:paraId="74936D35" w14:textId="51FA33AB" w:rsidR="00AC404F" w:rsidRDefault="00AC404F" w:rsidP="001575A7">
      <w:pPr>
        <w:pStyle w:val="ListParagraph"/>
        <w:numPr>
          <w:ilvl w:val="0"/>
          <w:numId w:val="7"/>
        </w:numPr>
      </w:pPr>
      <w:r>
        <w:t xml:space="preserve">But SRS is transmitted on UL, there are two </w:t>
      </w:r>
      <w:r w:rsidR="00B533BC">
        <w:t>possible configurations</w:t>
      </w:r>
      <w:r>
        <w:t>:</w:t>
      </w:r>
    </w:p>
    <w:p w14:paraId="2E65B33B" w14:textId="3AFBA0D6" w:rsidR="00AC404F" w:rsidRDefault="00AC404F" w:rsidP="001575A7">
      <w:pPr>
        <w:pStyle w:val="ListParagraph"/>
        <w:numPr>
          <w:ilvl w:val="1"/>
          <w:numId w:val="7"/>
        </w:numPr>
      </w:pPr>
      <w:r>
        <w:t>UL BWP</w:t>
      </w:r>
      <w:r w:rsidR="00B25632">
        <w:t xml:space="preserve"> </w:t>
      </w:r>
      <w:r w:rsidR="00C52549">
        <w:t xml:space="preserve">is a superset of DL BWP </w:t>
      </w:r>
      <w:r w:rsidR="00B25632">
        <w:t>for the BWP pair</w:t>
      </w:r>
      <w:r>
        <w:t>:</w:t>
      </w:r>
    </w:p>
    <w:p w14:paraId="719AE15B" w14:textId="1891DA05" w:rsidR="00AC404F" w:rsidRDefault="00AC404F" w:rsidP="001575A7">
      <w:pPr>
        <w:pStyle w:val="ListParagraph"/>
        <w:numPr>
          <w:ilvl w:val="2"/>
          <w:numId w:val="7"/>
        </w:numPr>
      </w:pPr>
      <w:proofErr w:type="gramStart"/>
      <w:r>
        <w:t>No issue,</w:t>
      </w:r>
      <w:proofErr w:type="gramEnd"/>
      <w:r>
        <w:t xml:space="preserve"> send SRS on frequency range of DL BWP in the UL direction.</w:t>
      </w:r>
    </w:p>
    <w:p w14:paraId="2374D8EF" w14:textId="484AA5F6" w:rsidR="00AC404F" w:rsidRDefault="00AC404F" w:rsidP="001575A7">
      <w:pPr>
        <w:pStyle w:val="ListParagraph"/>
        <w:numPr>
          <w:ilvl w:val="1"/>
          <w:numId w:val="7"/>
        </w:numPr>
      </w:pPr>
      <w:r>
        <w:t xml:space="preserve">UL BWP is a </w:t>
      </w:r>
      <w:r w:rsidR="001921F7">
        <w:t xml:space="preserve">proper </w:t>
      </w:r>
      <w:r>
        <w:t>subset of DL BWP</w:t>
      </w:r>
      <w:r w:rsidR="00B25632">
        <w:t xml:space="preserve"> for the BWP pair</w:t>
      </w:r>
      <w:r>
        <w:t>:</w:t>
      </w:r>
    </w:p>
    <w:p w14:paraId="020B55D9" w14:textId="5157EC75" w:rsidR="00AC404F" w:rsidRDefault="00AC404F" w:rsidP="001575A7">
      <w:pPr>
        <w:pStyle w:val="ListParagraph"/>
        <w:numPr>
          <w:ilvl w:val="2"/>
          <w:numId w:val="7"/>
        </w:numPr>
      </w:pPr>
      <w:r>
        <w:t>Allow sending SRS outside of UL BWP, but still within the frequency range of DL BWP.</w:t>
      </w:r>
    </w:p>
    <w:p w14:paraId="2A14A99B" w14:textId="521E2F0E" w:rsidR="00AC404F" w:rsidRDefault="00AC404F" w:rsidP="001575A7">
      <w:pPr>
        <w:pStyle w:val="ListParagraph"/>
        <w:numPr>
          <w:ilvl w:val="2"/>
          <w:numId w:val="7"/>
        </w:numPr>
      </w:pPr>
      <w:r>
        <w:t>To support this, implicit gap for UL BWP switching needs to be specified.</w:t>
      </w:r>
    </w:p>
    <w:tbl>
      <w:tblPr>
        <w:tblStyle w:val="TableGrid"/>
        <w:tblW w:w="0" w:type="auto"/>
        <w:tblLook w:val="04A0" w:firstRow="1" w:lastRow="0" w:firstColumn="1" w:lastColumn="0" w:noHBand="0" w:noVBand="1"/>
      </w:tblPr>
      <w:tblGrid>
        <w:gridCol w:w="5575"/>
        <w:gridCol w:w="4053"/>
      </w:tblGrid>
      <w:tr w:rsidR="00B25632" w14:paraId="7442FF1D" w14:textId="77777777" w:rsidTr="00FA27B9">
        <w:trPr>
          <w:cantSplit/>
        </w:trPr>
        <w:tc>
          <w:tcPr>
            <w:tcW w:w="5575" w:type="dxa"/>
          </w:tcPr>
          <w:p w14:paraId="586B74FC" w14:textId="77777777" w:rsidR="00B25632" w:rsidRDefault="00B25632" w:rsidP="00AC404F">
            <w:r>
              <w:t>Configuration 1:</w:t>
            </w:r>
          </w:p>
          <w:p w14:paraId="4751C4B3" w14:textId="1AA2A032" w:rsidR="00B25632" w:rsidRDefault="00B25632" w:rsidP="00AC404F">
            <w:r>
              <w:rPr>
                <w:noProof/>
              </w:rPr>
              <w:drawing>
                <wp:inline distT="0" distB="0" distL="0" distR="0" wp14:anchorId="6281404E" wp14:editId="370DE2A6">
                  <wp:extent cx="1316736" cy="11155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316736" cy="1115568"/>
                          </a:xfrm>
                          <a:prstGeom prst="rect">
                            <a:avLst/>
                          </a:prstGeom>
                        </pic:spPr>
                      </pic:pic>
                    </a:graphicData>
                  </a:graphic>
                </wp:inline>
              </w:drawing>
            </w:r>
            <w:r>
              <w:rPr>
                <w:noProof/>
              </w:rPr>
              <w:t xml:space="preserve">                            </w:t>
            </w:r>
            <w:r>
              <w:rPr>
                <w:noProof/>
              </w:rPr>
              <w:drawing>
                <wp:inline distT="0" distB="0" distL="0" distR="0" wp14:anchorId="0A8A9C5B" wp14:editId="42E6B89C">
                  <wp:extent cx="374904" cy="1115568"/>
                  <wp:effectExtent l="0" t="0" r="635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4904" cy="1115568"/>
                          </a:xfrm>
                          <a:prstGeom prst="rect">
                            <a:avLst/>
                          </a:prstGeom>
                        </pic:spPr>
                      </pic:pic>
                    </a:graphicData>
                  </a:graphic>
                </wp:inline>
              </w:drawing>
            </w:r>
          </w:p>
        </w:tc>
        <w:tc>
          <w:tcPr>
            <w:tcW w:w="4053" w:type="dxa"/>
          </w:tcPr>
          <w:p w14:paraId="0F7A6DC3" w14:textId="77777777" w:rsidR="00B25632" w:rsidRDefault="00B25632" w:rsidP="00AC404F">
            <w:r>
              <w:t>Configuration 2:</w:t>
            </w:r>
          </w:p>
          <w:p w14:paraId="26F3DBC6" w14:textId="449255D2" w:rsidR="00B25632" w:rsidRDefault="00B25632" w:rsidP="00AC404F">
            <w:r>
              <w:rPr>
                <w:noProof/>
              </w:rPr>
              <w:drawing>
                <wp:inline distT="0" distB="0" distL="0" distR="0" wp14:anchorId="3CF32E2F" wp14:editId="69971DC8">
                  <wp:extent cx="1316736" cy="98755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316736" cy="987552"/>
                          </a:xfrm>
                          <a:prstGeom prst="rect">
                            <a:avLst/>
                          </a:prstGeom>
                        </pic:spPr>
                      </pic:pic>
                    </a:graphicData>
                  </a:graphic>
                </wp:inline>
              </w:drawing>
            </w:r>
          </w:p>
        </w:tc>
      </w:tr>
    </w:tbl>
    <w:p w14:paraId="5EEA629A" w14:textId="47A2F7B4" w:rsidR="00345AE6" w:rsidRDefault="00345AE6" w:rsidP="00AC404F"/>
    <w:p w14:paraId="4B7D2917" w14:textId="511AAB07" w:rsidR="00345AE6" w:rsidRDefault="00B533BC" w:rsidP="00AC404F">
      <w:r>
        <w:t>In order to simplify implementation and specification effort, we propose supporting configuration (1) only for Rel-15.</w:t>
      </w:r>
    </w:p>
    <w:p w14:paraId="0F6F59DA" w14:textId="321A5574" w:rsidR="00B25632" w:rsidRPr="00B25632" w:rsidRDefault="00B25632" w:rsidP="00B25632">
      <w:pPr>
        <w:pStyle w:val="Caption"/>
      </w:pPr>
      <w:bookmarkStart w:id="31" w:name="_Toc498701145"/>
      <w:bookmarkStart w:id="32" w:name="_Toc498702920"/>
      <w:bookmarkStart w:id="33" w:name="_Toc498711164"/>
      <w:bookmarkStart w:id="34" w:name="_Toc498712641"/>
      <w:bookmarkStart w:id="35" w:name="_Toc498712709"/>
      <w:bookmarkStart w:id="36" w:name="_Toc498714481"/>
      <w:bookmarkStart w:id="37" w:name="_Toc498715967"/>
      <w:bookmarkStart w:id="38" w:name="_Toc498716641"/>
      <w:bookmarkStart w:id="39" w:name="_Toc498717147"/>
      <w:bookmarkStart w:id="40" w:name="_Toc498717286"/>
      <w:bookmarkStart w:id="41" w:name="_Toc498717532"/>
      <w:bookmarkStart w:id="42" w:name="_Toc498720182"/>
      <w:bookmarkStart w:id="43" w:name="_Toc503105506"/>
      <w:bookmarkStart w:id="44" w:name="_Toc503105518"/>
      <w:bookmarkStart w:id="45" w:name="_Toc503105528"/>
      <w:bookmarkStart w:id="46" w:name="_Toc503105645"/>
      <w:bookmarkStart w:id="47" w:name="_Toc503260715"/>
      <w:bookmarkStart w:id="48" w:name="_Toc503267957"/>
      <w:bookmarkStart w:id="49" w:name="_Toc503268138"/>
      <w:bookmarkStart w:id="50" w:name="_Toc503268188"/>
      <w:bookmarkStart w:id="51" w:name="_Toc503268216"/>
      <w:bookmarkStart w:id="52" w:name="_Toc503282492"/>
      <w:bookmarkStart w:id="53" w:name="_Toc503313772"/>
      <w:bookmarkStart w:id="54" w:name="_Toc503464742"/>
      <w:bookmarkStart w:id="55" w:name="_Toc503486494"/>
      <w:bookmarkStart w:id="56" w:name="_Toc503488674"/>
      <w:bookmarkStart w:id="57" w:name="_Toc503489508"/>
      <w:bookmarkStart w:id="58" w:name="_Toc503490977"/>
      <w:bookmarkStart w:id="59" w:name="_Toc503491316"/>
      <w:bookmarkStart w:id="60" w:name="_Toc503534860"/>
      <w:bookmarkStart w:id="61" w:name="_Toc503538745"/>
      <w:bookmarkStart w:id="62" w:name="_Toc503539929"/>
      <w:bookmarkStart w:id="63" w:name="_Toc503539995"/>
      <w:bookmarkStart w:id="64" w:name="_Toc503542173"/>
      <w:bookmarkStart w:id="65" w:name="_Toc503545878"/>
      <w:bookmarkStart w:id="66" w:name="_Toc503545894"/>
      <w:bookmarkStart w:id="67" w:name="_Toc503547087"/>
      <w:bookmarkStart w:id="68" w:name="_Toc503547220"/>
      <w:bookmarkStart w:id="69" w:name="_Toc503547799"/>
      <w:bookmarkStart w:id="70" w:name="_Toc503552108"/>
      <w:bookmarkStart w:id="71" w:name="_Toc503553231"/>
      <w:bookmarkStart w:id="72" w:name="_Toc513834896"/>
      <w:r>
        <w:t xml:space="preserve">Proposal </w:t>
      </w:r>
      <w:r w:rsidR="007552E2">
        <w:fldChar w:fldCharType="begin"/>
      </w:r>
      <w:r w:rsidR="007552E2">
        <w:instrText xml:space="preserve"> SEQ Proposal \* ARABIC </w:instrText>
      </w:r>
      <w:r w:rsidR="007552E2">
        <w:fldChar w:fldCharType="separate"/>
      </w:r>
      <w:r w:rsidR="00ED57BA">
        <w:rPr>
          <w:noProof/>
        </w:rPr>
        <w:t>12</w:t>
      </w:r>
      <w:r w:rsidR="007552E2">
        <w:rPr>
          <w:noProof/>
        </w:rPr>
        <w:fldChar w:fldCharType="end"/>
      </w:r>
      <w:r>
        <w:t>: For Rel-15, for unpaired spectrum</w:t>
      </w:r>
      <w:r w:rsidR="00D4039F">
        <w:t xml:space="preserve"> and if SRS feature is enabled</w:t>
      </w:r>
      <w:r>
        <w:t xml:space="preserve">, do not support the BWP pair configuration where the UL BWP frequency range is </w:t>
      </w:r>
      <w:r w:rsidR="00775662">
        <w:t>not a superset of</w:t>
      </w:r>
      <w:r>
        <w:t xml:space="preserve"> that of the DL BWP.</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738FF5D" w14:textId="10546D86" w:rsidR="00E20ED1" w:rsidRDefault="00E20ED1" w:rsidP="00E33E3A">
      <w:pPr>
        <w:pStyle w:val="Caption"/>
      </w:pPr>
    </w:p>
    <w:p w14:paraId="502A49AD" w14:textId="77777777" w:rsidR="009713ED" w:rsidRDefault="009713ED" w:rsidP="00FE5B02"/>
    <w:p w14:paraId="28901F30" w14:textId="07EC6D9A" w:rsidR="00FE5B02" w:rsidRDefault="00430CD1" w:rsidP="00430CD1">
      <w:pPr>
        <w:pStyle w:val="Heading2"/>
      </w:pPr>
      <w:r>
        <w:t xml:space="preserve">UE Feature </w:t>
      </w:r>
      <w:r w:rsidR="004F0548">
        <w:t>Related</w:t>
      </w:r>
    </w:p>
    <w:p w14:paraId="1A80272E" w14:textId="35EEF7DC" w:rsidR="00D14D0C" w:rsidRDefault="005C6502" w:rsidP="00D14D0C">
      <w:pPr>
        <w:pStyle w:val="Heading3"/>
      </w:pPr>
      <w:bookmarkStart w:id="73" w:name="_Ref506512193"/>
      <w:r>
        <w:t>BWP Adaptation Option Types</w:t>
      </w:r>
      <w:bookmarkEnd w:id="73"/>
    </w:p>
    <w:p w14:paraId="085EE015" w14:textId="257D1F1A" w:rsidR="00283B67" w:rsidRDefault="00371C1D" w:rsidP="00323273">
      <w:pPr>
        <w:rPr>
          <w:lang w:val="en-GB"/>
        </w:rPr>
      </w:pPr>
      <w:r>
        <w:rPr>
          <w:lang w:val="en-GB"/>
        </w:rPr>
        <w:t>Basic BWP operation refers to a single pair of DL/UL BWP configuration, and does not support dynamic BWP switching based on DCI.</w:t>
      </w:r>
      <w:r w:rsidR="00F0545A">
        <w:rPr>
          <w:lang w:val="en-GB"/>
        </w:rPr>
        <w:t xml:space="preserve"> Support is mandatory.</w:t>
      </w:r>
    </w:p>
    <w:p w14:paraId="5B481C58" w14:textId="525F0EC4" w:rsidR="00DF515D" w:rsidRDefault="00DF515D" w:rsidP="00323273">
      <w:pPr>
        <w:rPr>
          <w:lang w:val="en-GB"/>
        </w:rPr>
      </w:pPr>
      <w:r>
        <w:rPr>
          <w:u w:val="single"/>
          <w:lang w:val="en-GB"/>
        </w:rPr>
        <w:t>6-1: Basic BWP operation</w:t>
      </w:r>
    </w:p>
    <w:p w14:paraId="284CD648" w14:textId="15F9E5C6" w:rsidR="00DF515D" w:rsidRDefault="00DF515D" w:rsidP="00DF515D">
      <w:pPr>
        <w:pStyle w:val="ListParagraph"/>
        <w:numPr>
          <w:ilvl w:val="0"/>
          <w:numId w:val="26"/>
        </w:numPr>
      </w:pPr>
      <w:r w:rsidRPr="00DF515D">
        <w:lastRenderedPageBreak/>
        <w:t>1 UE-specific RRC configured DL BWP per carrier</w:t>
      </w:r>
    </w:p>
    <w:p w14:paraId="2EF095CD" w14:textId="1091C93A" w:rsidR="00DF515D" w:rsidRDefault="00DF515D" w:rsidP="00DF515D">
      <w:pPr>
        <w:pStyle w:val="ListParagraph"/>
        <w:numPr>
          <w:ilvl w:val="0"/>
          <w:numId w:val="26"/>
        </w:numPr>
      </w:pPr>
      <w:r w:rsidRPr="00DF515D">
        <w:t>1 UE-specific RRC configured UL BWP per carrier</w:t>
      </w:r>
    </w:p>
    <w:p w14:paraId="43E18306" w14:textId="74E8B874" w:rsidR="00DF515D" w:rsidRDefault="00DF515D" w:rsidP="00DF515D">
      <w:pPr>
        <w:pStyle w:val="ListParagraph"/>
        <w:numPr>
          <w:ilvl w:val="0"/>
          <w:numId w:val="26"/>
        </w:numPr>
      </w:pPr>
      <w:r w:rsidRPr="00DF515D">
        <w:t>RRC reconfiguration of any parameters related to BWP</w:t>
      </w:r>
    </w:p>
    <w:p w14:paraId="0835E4F9" w14:textId="2A055464" w:rsidR="00371C1D" w:rsidRDefault="00371C1D" w:rsidP="00323273">
      <w:pPr>
        <w:rPr>
          <w:lang w:val="en-GB"/>
        </w:rPr>
      </w:pPr>
      <w:r>
        <w:rPr>
          <w:lang w:val="en-GB"/>
        </w:rPr>
        <w:t xml:space="preserve">Next level of complexity for BWP operation is associated with supporting BWP adaptation by dynamic BWP switching. Also, in terms of BWP configuration, whether common search space, PRACH resource, SSB are configured within each BWP or not, greatly affects the complexity of the implementation on both the </w:t>
      </w:r>
      <w:proofErr w:type="spellStart"/>
      <w:r>
        <w:rPr>
          <w:lang w:val="en-GB"/>
        </w:rPr>
        <w:t>gNB</w:t>
      </w:r>
      <w:proofErr w:type="spellEnd"/>
      <w:r>
        <w:rPr>
          <w:lang w:val="en-GB"/>
        </w:rPr>
        <w:t xml:space="preserve"> and UE side. In addition, BWP-specific configuration, such as CORESET and associated PDCCH search space</w:t>
      </w:r>
      <w:r w:rsidR="00702711">
        <w:rPr>
          <w:lang w:val="en-GB"/>
        </w:rPr>
        <w:t>s</w:t>
      </w:r>
      <w:r>
        <w:rPr>
          <w:lang w:val="en-GB"/>
        </w:rPr>
        <w:t>, PUCCH resources, also has significant impact to the implementation complexity.</w:t>
      </w:r>
    </w:p>
    <w:p w14:paraId="3A7C1885" w14:textId="76D89084" w:rsidR="00C5334F" w:rsidRDefault="00702711" w:rsidP="00323273">
      <w:pPr>
        <w:rPr>
          <w:lang w:val="en-GB"/>
        </w:rPr>
      </w:pPr>
      <w:r>
        <w:rPr>
          <w:lang w:val="en-GB"/>
        </w:rPr>
        <w:t xml:space="preserve">Type A </w:t>
      </w:r>
      <w:r w:rsidR="00A36893">
        <w:rPr>
          <w:lang w:val="en-GB"/>
        </w:rPr>
        <w:t xml:space="preserve">was proposed to </w:t>
      </w:r>
      <w:r>
        <w:rPr>
          <w:lang w:val="en-GB"/>
        </w:rPr>
        <w:t>support a greatly simplified configuration mainly for UE power saving objective, and Type B supports full-fledged BWP adaptation</w:t>
      </w:r>
      <w:r w:rsidR="00BF153C">
        <w:rPr>
          <w:lang w:val="en-GB"/>
        </w:rPr>
        <w:t>.</w:t>
      </w:r>
    </w:p>
    <w:p w14:paraId="00A95D38" w14:textId="22F936F9" w:rsidR="00BF153C" w:rsidRPr="00BF153C" w:rsidRDefault="00DF515D" w:rsidP="00BF153C">
      <w:pPr>
        <w:rPr>
          <w:u w:val="single"/>
          <w:lang w:val="en-GB"/>
        </w:rPr>
      </w:pPr>
      <w:r>
        <w:rPr>
          <w:u w:val="single"/>
          <w:lang w:val="en-GB"/>
        </w:rPr>
        <w:t xml:space="preserve">6-2: </w:t>
      </w:r>
      <w:r w:rsidR="00A34F3C">
        <w:rPr>
          <w:u w:val="single"/>
          <w:lang w:val="en-GB"/>
        </w:rPr>
        <w:t>Type A BWP adaptation</w:t>
      </w:r>
    </w:p>
    <w:p w14:paraId="79C99101" w14:textId="31EE9A8A" w:rsidR="00BF153C" w:rsidRDefault="0079032C" w:rsidP="0079032C">
      <w:pPr>
        <w:pStyle w:val="ListParagraph"/>
        <w:numPr>
          <w:ilvl w:val="0"/>
          <w:numId w:val="8"/>
        </w:numPr>
      </w:pPr>
      <w:r w:rsidRPr="0079032C">
        <w:t>Up to 2 UE-specific RRC configured DL BWPs per carrier</w:t>
      </w:r>
    </w:p>
    <w:p w14:paraId="29AB72DB" w14:textId="1789A563" w:rsidR="0079032C" w:rsidRDefault="0079032C" w:rsidP="0079032C">
      <w:pPr>
        <w:pStyle w:val="ListParagraph"/>
        <w:numPr>
          <w:ilvl w:val="0"/>
          <w:numId w:val="8"/>
        </w:numPr>
      </w:pPr>
      <w:r w:rsidRPr="0079032C">
        <w:t>Up to 2 UE-specific RRC configured UL BWPs per carrier</w:t>
      </w:r>
    </w:p>
    <w:p w14:paraId="15218AB9" w14:textId="0FE2CFFB" w:rsidR="004B235E" w:rsidRDefault="0079032C" w:rsidP="0079032C">
      <w:pPr>
        <w:pStyle w:val="ListParagraph"/>
        <w:numPr>
          <w:ilvl w:val="0"/>
          <w:numId w:val="8"/>
        </w:numPr>
      </w:pPr>
      <w:r w:rsidRPr="0079032C">
        <w:t>Active BWP switching by DCI and timer</w:t>
      </w:r>
    </w:p>
    <w:p w14:paraId="0B517EDE" w14:textId="2DDFA3FC" w:rsidR="0079032C" w:rsidRDefault="0079032C" w:rsidP="0079032C">
      <w:pPr>
        <w:pStyle w:val="ListParagraph"/>
        <w:numPr>
          <w:ilvl w:val="0"/>
          <w:numId w:val="8"/>
        </w:numPr>
      </w:pPr>
      <w:r w:rsidRPr="0079032C">
        <w:t>Same numerology for all the UE-specific RRC configured BWPs per carrier</w:t>
      </w:r>
    </w:p>
    <w:p w14:paraId="3FEABB05" w14:textId="4A3FAA42" w:rsidR="00AB426C" w:rsidRDefault="00AB426C" w:rsidP="00AB426C">
      <w:pPr>
        <w:pStyle w:val="ListParagraph"/>
        <w:numPr>
          <w:ilvl w:val="0"/>
          <w:numId w:val="8"/>
        </w:numPr>
      </w:pPr>
      <w:r w:rsidRPr="00AB426C">
        <w:t xml:space="preserve">BW of each BWP includes BW of the same initial DL BWP </w:t>
      </w:r>
      <w:r w:rsidRPr="00D35815">
        <w:rPr>
          <w:highlight w:val="yellow"/>
        </w:rPr>
        <w:t>and cell-defining SSB</w:t>
      </w:r>
      <w:r w:rsidRPr="00AB426C">
        <w:t xml:space="preserve"> if there is an initial DL BWP in a carrier</w:t>
      </w:r>
    </w:p>
    <w:p w14:paraId="48EEA68B" w14:textId="5790F801" w:rsidR="0079032C" w:rsidRDefault="00AB426C" w:rsidP="0079032C">
      <w:r>
        <w:t>The highlighted part above is a clarification in case SSB is not within the initial DL BWP. Also, t</w:t>
      </w:r>
      <w:r w:rsidR="0079032C">
        <w:t>he following addition</w:t>
      </w:r>
      <w:r>
        <w:t xml:space="preserve"> should also be considered</w:t>
      </w:r>
      <w:r w:rsidR="0079032C">
        <w:t>:</w:t>
      </w:r>
    </w:p>
    <w:p w14:paraId="7A7967DE" w14:textId="77D36726" w:rsidR="001859ED" w:rsidRDefault="001859ED" w:rsidP="001575A7">
      <w:pPr>
        <w:pStyle w:val="ListParagraph"/>
        <w:numPr>
          <w:ilvl w:val="0"/>
          <w:numId w:val="8"/>
        </w:numPr>
      </w:pPr>
      <w:r>
        <w:t xml:space="preserve">For TDD, </w:t>
      </w:r>
      <w:r w:rsidR="00B573C4">
        <w:t>the frequency range of UL BWP is a superset of its paired DL BWP</w:t>
      </w:r>
    </w:p>
    <w:p w14:paraId="737977FA" w14:textId="0C739E80" w:rsidR="0079032C" w:rsidRDefault="00F0545A" w:rsidP="009707FD">
      <w:r>
        <w:t>This is m</w:t>
      </w:r>
      <w:r w:rsidR="00B573C4">
        <w:t>ainly motivated by simplified SRS operation</w:t>
      </w:r>
      <w:r>
        <w:t xml:space="preserve">. </w:t>
      </w:r>
      <w:r w:rsidR="00B573C4">
        <w:t>Also, if UL BWP has wide bandwidth, UL spectrum fragmentation issue can be alleviated</w:t>
      </w:r>
      <w:r>
        <w:t>.</w:t>
      </w:r>
    </w:p>
    <w:p w14:paraId="1FA9ACF9" w14:textId="5B48961B" w:rsidR="00C63169" w:rsidRPr="00814E13" w:rsidRDefault="00686644" w:rsidP="00754C1A">
      <w:pPr>
        <w:pStyle w:val="Caption"/>
        <w:rPr>
          <w:b w:val="0"/>
        </w:rPr>
      </w:pPr>
      <w:bookmarkStart w:id="74" w:name="_Toc494741492"/>
      <w:bookmarkStart w:id="75" w:name="_Toc494742686"/>
      <w:bookmarkStart w:id="76" w:name="_Toc494742969"/>
      <w:bookmarkStart w:id="77" w:name="_Toc494743448"/>
      <w:bookmarkStart w:id="78" w:name="_Toc494743595"/>
      <w:bookmarkStart w:id="79" w:name="_Toc494744792"/>
      <w:bookmarkStart w:id="80" w:name="_Toc494748372"/>
      <w:bookmarkStart w:id="81" w:name="_Toc494743632"/>
      <w:bookmarkStart w:id="82" w:name="_Toc498633825"/>
      <w:bookmarkStart w:id="83" w:name="_Toc498634115"/>
      <w:bookmarkStart w:id="84" w:name="_Toc498648444"/>
      <w:bookmarkStart w:id="85" w:name="_Toc498648607"/>
      <w:bookmarkStart w:id="86" w:name="_Toc498701154"/>
      <w:bookmarkStart w:id="87" w:name="_Toc498702930"/>
      <w:bookmarkStart w:id="88" w:name="_Toc498711174"/>
      <w:bookmarkStart w:id="89" w:name="_Toc498712651"/>
      <w:bookmarkStart w:id="90" w:name="_Toc498712719"/>
      <w:bookmarkStart w:id="91" w:name="_Toc498714492"/>
      <w:bookmarkStart w:id="92" w:name="_Toc498715979"/>
      <w:bookmarkStart w:id="93" w:name="_Toc498716653"/>
      <w:bookmarkStart w:id="94" w:name="_Toc498717159"/>
      <w:bookmarkStart w:id="95" w:name="_Toc498717298"/>
      <w:bookmarkStart w:id="96" w:name="_Toc498717544"/>
      <w:bookmarkStart w:id="97" w:name="_Toc498720194"/>
      <w:bookmarkStart w:id="98" w:name="_Toc503105513"/>
      <w:bookmarkStart w:id="99" w:name="_Toc503105525"/>
      <w:bookmarkStart w:id="100" w:name="_Toc503105535"/>
      <w:bookmarkStart w:id="101" w:name="_Toc503105652"/>
      <w:bookmarkStart w:id="102" w:name="_Toc503260721"/>
      <w:bookmarkStart w:id="103" w:name="_Toc503267963"/>
      <w:bookmarkStart w:id="104" w:name="_Toc503268144"/>
      <w:bookmarkStart w:id="105" w:name="_Toc503268194"/>
      <w:bookmarkStart w:id="106" w:name="_Toc503268222"/>
      <w:bookmarkStart w:id="107" w:name="_Toc503282500"/>
      <w:bookmarkStart w:id="108" w:name="_Toc503313782"/>
      <w:bookmarkStart w:id="109" w:name="_Toc503464753"/>
      <w:bookmarkStart w:id="110" w:name="_Toc503486508"/>
      <w:bookmarkStart w:id="111" w:name="_Toc503488689"/>
      <w:bookmarkStart w:id="112" w:name="_Toc503489522"/>
      <w:bookmarkStart w:id="113" w:name="_Toc503490991"/>
      <w:bookmarkStart w:id="114" w:name="_Toc503491330"/>
      <w:bookmarkStart w:id="115" w:name="_Toc503534874"/>
      <w:bookmarkStart w:id="116" w:name="_Toc503538759"/>
      <w:bookmarkStart w:id="117" w:name="_Toc503539943"/>
      <w:bookmarkStart w:id="118" w:name="_Toc503540009"/>
      <w:bookmarkStart w:id="119" w:name="_Toc503542187"/>
      <w:bookmarkStart w:id="120" w:name="_Toc503545892"/>
      <w:bookmarkStart w:id="121" w:name="_Toc503545908"/>
      <w:bookmarkStart w:id="122" w:name="_Toc503547101"/>
      <w:bookmarkStart w:id="123" w:name="_Toc503547234"/>
      <w:bookmarkStart w:id="124" w:name="_Toc503547813"/>
      <w:bookmarkStart w:id="125" w:name="_Toc503552122"/>
      <w:bookmarkStart w:id="126" w:name="_Toc503553245"/>
      <w:bookmarkStart w:id="127" w:name="_Toc513834897"/>
      <w:r>
        <w:t xml:space="preserve">Proposal </w:t>
      </w:r>
      <w:r w:rsidR="007552E2">
        <w:fldChar w:fldCharType="begin"/>
      </w:r>
      <w:r w:rsidR="007552E2">
        <w:instrText xml:space="preserve"> SEQ Proposal \* ARABIC </w:instrText>
      </w:r>
      <w:r w:rsidR="007552E2">
        <w:fldChar w:fldCharType="separate"/>
      </w:r>
      <w:r w:rsidR="00ED57BA">
        <w:rPr>
          <w:noProof/>
        </w:rPr>
        <w:t>13</w:t>
      </w:r>
      <w:r w:rsidR="007552E2">
        <w:rPr>
          <w:noProof/>
        </w:rPr>
        <w:fldChar w:fldCharType="end"/>
      </w:r>
      <w:r>
        <w:t>: For Rel-15</w:t>
      </w:r>
      <w:bookmarkEnd w:id="74"/>
      <w:r>
        <w:t xml:space="preserve">, </w:t>
      </w:r>
      <w:bookmarkEnd w:id="75"/>
      <w:bookmarkEnd w:id="76"/>
      <w:bookmarkEnd w:id="77"/>
      <w:bookmarkEnd w:id="78"/>
      <w:bookmarkEnd w:id="79"/>
      <w:bookmarkEnd w:id="80"/>
      <w:bookmarkEnd w:id="81"/>
      <w:bookmarkEnd w:id="82"/>
      <w:bookmarkEnd w:id="83"/>
      <w:r w:rsidR="00DF4F1A">
        <w:t>introduce</w:t>
      </w:r>
      <w:r w:rsidR="00754C1A">
        <w:t xml:space="preserve"> Type A BWP adaptation </w:t>
      </w:r>
      <w:r w:rsidR="00DF4F1A">
        <w:t xml:space="preserve">as </w:t>
      </w:r>
      <w:proofErr w:type="gramStart"/>
      <w:r w:rsidR="00DF4F1A">
        <w:t>an</w:t>
      </w:r>
      <w:proofErr w:type="gramEnd"/>
      <w:r w:rsidR="00DF4F1A">
        <w:t xml:space="preserve"> UE feature as described</w:t>
      </w:r>
      <w:r w:rsidR="00A34F3C">
        <w: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D959389" w14:textId="691E8CA1" w:rsidR="00DF515D" w:rsidRDefault="00DF515D" w:rsidP="00CA3827">
      <w:pPr>
        <w:rPr>
          <w:lang w:val="en-GB"/>
        </w:rPr>
      </w:pPr>
    </w:p>
    <w:p w14:paraId="5405FE7D" w14:textId="3391CAE7" w:rsidR="00DF515D" w:rsidRDefault="00DF515D" w:rsidP="00CA3827">
      <w:pPr>
        <w:rPr>
          <w:lang w:val="en-GB"/>
        </w:rPr>
      </w:pPr>
      <w:r>
        <w:rPr>
          <w:lang w:val="en-GB"/>
        </w:rPr>
        <w:t>It is reasonable to expect that going from feature 6-1 to 6-</w:t>
      </w:r>
      <w:r w:rsidR="009707FD">
        <w:rPr>
          <w:lang w:val="en-GB"/>
        </w:rPr>
        <w:t>2</w:t>
      </w:r>
      <w:r>
        <w:rPr>
          <w:lang w:val="en-GB"/>
        </w:rPr>
        <w:t xml:space="preserve"> corresponds to gradually increasing implementation complexity. By this principle, it makes sense to apply a subset of conditions of Type A BWP adaptation to Basic BWP operation. For consistency we propose to add the following condition to 6-1: Basic BWP operation:</w:t>
      </w:r>
    </w:p>
    <w:p w14:paraId="5F5F9A99" w14:textId="66DDD2A8" w:rsidR="00DF515D" w:rsidRDefault="00DF515D" w:rsidP="00DF515D">
      <w:pPr>
        <w:pStyle w:val="Caption"/>
        <w:rPr>
          <w:lang w:val="en-GB"/>
        </w:rPr>
      </w:pPr>
      <w:bookmarkStart w:id="128" w:name="_Toc513834898"/>
      <w:r>
        <w:t xml:space="preserve">Proposal </w:t>
      </w:r>
      <w:r w:rsidR="007552E2">
        <w:fldChar w:fldCharType="begin"/>
      </w:r>
      <w:r w:rsidR="007552E2">
        <w:instrText xml:space="preserve"> SEQ Proposal \* ARABIC </w:instrText>
      </w:r>
      <w:r w:rsidR="007552E2">
        <w:fldChar w:fldCharType="separate"/>
      </w:r>
      <w:r w:rsidR="00ED57BA">
        <w:rPr>
          <w:noProof/>
        </w:rPr>
        <w:t>14</w:t>
      </w:r>
      <w:r w:rsidR="007552E2">
        <w:rPr>
          <w:noProof/>
        </w:rPr>
        <w:fldChar w:fldCharType="end"/>
      </w:r>
      <w:r>
        <w:t>: Add the following condition to UE feature 6-1 Basic BWP operation: “</w:t>
      </w:r>
      <w:r w:rsidRPr="0079032C">
        <w:t xml:space="preserve">BW of </w:t>
      </w:r>
      <w:r>
        <w:t>RRC configured DL</w:t>
      </w:r>
      <w:r w:rsidRPr="0079032C">
        <w:t xml:space="preserve"> BWP includes BW of the same initial DL BWP</w:t>
      </w:r>
      <w:r w:rsidR="0014104A">
        <w:t xml:space="preserve"> and </w:t>
      </w:r>
      <w:r w:rsidR="00AB426C">
        <w:t>cell-defining</w:t>
      </w:r>
      <w:r w:rsidR="0014104A">
        <w:t xml:space="preserve"> SSB</w:t>
      </w:r>
      <w:r w:rsidRPr="0079032C">
        <w:t xml:space="preserve"> if there is an initial DL BWP in a carrier</w:t>
      </w:r>
      <w:r>
        <w:t>”</w:t>
      </w:r>
      <w:bookmarkEnd w:id="128"/>
    </w:p>
    <w:p w14:paraId="387E876F" w14:textId="7D3B13B5" w:rsidR="00DF515D" w:rsidRDefault="00DF515D" w:rsidP="00CA3827">
      <w:pPr>
        <w:rPr>
          <w:lang w:val="en-GB"/>
        </w:rPr>
      </w:pPr>
      <w:r>
        <w:rPr>
          <w:lang w:val="en-GB"/>
        </w:rPr>
        <w:t>Without this condition, basic BWP operation has to deal with the case where SSB may not be present in the active DL BWP and it is unclear how RLM operation can be performed. Another benefit is that RMSI CORESET (i.e. CORESET 0) can be monitored in the active DL BWP</w:t>
      </w:r>
      <w:r w:rsidR="00146813">
        <w:rPr>
          <w:lang w:val="en-GB"/>
        </w:rPr>
        <w:t xml:space="preserve">, avoiding the need to switch to the initial DL BWP. </w:t>
      </w:r>
    </w:p>
    <w:p w14:paraId="600DADD9" w14:textId="1B281A59" w:rsidR="00234AE9" w:rsidRDefault="00234AE9" w:rsidP="00CA3827">
      <w:pPr>
        <w:rPr>
          <w:lang w:val="en-GB"/>
        </w:rPr>
      </w:pPr>
    </w:p>
    <w:p w14:paraId="6C878A1E" w14:textId="00A75428" w:rsidR="00A45A4A" w:rsidRDefault="00A45A4A" w:rsidP="00A45A4A">
      <w:pPr>
        <w:pStyle w:val="Heading2"/>
      </w:pPr>
      <w:r>
        <w:t>BWP Bandwidth Configuration Granularity</w:t>
      </w:r>
    </w:p>
    <w:p w14:paraId="6B4CF5E6" w14:textId="4EE68854" w:rsidR="00A45A4A" w:rsidRDefault="00A45A4A" w:rsidP="00A45A4A">
      <w:pPr>
        <w:rPr>
          <w:lang w:val="en-GB"/>
        </w:rPr>
      </w:pPr>
      <w:r>
        <w:rPr>
          <w:lang w:val="en-GB"/>
        </w:rPr>
        <w:t>In RAN1 #90bis, the following agreement on BWP configuration was made:</w:t>
      </w:r>
    </w:p>
    <w:p w14:paraId="65CCAE18" w14:textId="77777777" w:rsidR="00A45A4A" w:rsidRPr="009608A4" w:rsidRDefault="00A45A4A" w:rsidP="00A45A4A">
      <w:pPr>
        <w:numPr>
          <w:ilvl w:val="0"/>
          <w:numId w:val="29"/>
        </w:numPr>
        <w:overflowPunct/>
        <w:autoSpaceDE/>
        <w:autoSpaceDN/>
        <w:adjustRightInd/>
        <w:spacing w:after="0"/>
        <w:textAlignment w:val="auto"/>
      </w:pPr>
      <w:r w:rsidRPr="009608A4">
        <w:t>A DL (or UL) BWP is configured to a UE by resource allocation Type 1 with granularity as follows</w:t>
      </w:r>
    </w:p>
    <w:p w14:paraId="783FC840" w14:textId="77777777" w:rsidR="00A45A4A" w:rsidRPr="002B4EFE" w:rsidRDefault="00A45A4A" w:rsidP="00A45A4A">
      <w:pPr>
        <w:numPr>
          <w:ilvl w:val="1"/>
          <w:numId w:val="29"/>
        </w:numPr>
        <w:overflowPunct/>
        <w:autoSpaceDE/>
        <w:autoSpaceDN/>
        <w:adjustRightInd/>
        <w:spacing w:after="0"/>
        <w:textAlignment w:val="auto"/>
      </w:pPr>
      <w:r w:rsidRPr="002B4EFE">
        <w:t>Granularity of starting frequency location: 1 PRB</w:t>
      </w:r>
    </w:p>
    <w:p w14:paraId="41F230EB" w14:textId="77777777" w:rsidR="00A45A4A" w:rsidRPr="002B4EFE" w:rsidRDefault="00A45A4A" w:rsidP="00A45A4A">
      <w:pPr>
        <w:numPr>
          <w:ilvl w:val="1"/>
          <w:numId w:val="29"/>
        </w:numPr>
        <w:overflowPunct/>
        <w:autoSpaceDE/>
        <w:autoSpaceDN/>
        <w:adjustRightInd/>
        <w:spacing w:after="0"/>
        <w:textAlignment w:val="auto"/>
      </w:pPr>
      <w:r w:rsidRPr="002B4EFE">
        <w:t>Granularity of bandwidth size: 1 PRB</w:t>
      </w:r>
    </w:p>
    <w:p w14:paraId="034B6FFB" w14:textId="77777777" w:rsidR="00A45A4A" w:rsidRDefault="00A45A4A" w:rsidP="00A45A4A">
      <w:pPr>
        <w:numPr>
          <w:ilvl w:val="1"/>
          <w:numId w:val="29"/>
        </w:numPr>
        <w:overflowPunct/>
        <w:autoSpaceDE/>
        <w:autoSpaceDN/>
        <w:adjustRightInd/>
        <w:spacing w:after="120"/>
        <w:ind w:left="1434" w:hanging="357"/>
        <w:textAlignment w:val="auto"/>
      </w:pPr>
      <w:r w:rsidRPr="002B4EFE">
        <w:t xml:space="preserve">Note: The above granularity doesn’t imply that a UE shall adapt its </w:t>
      </w:r>
      <w:r w:rsidRPr="002B4EFE">
        <w:rPr>
          <w:rFonts w:hint="eastAsia"/>
        </w:rPr>
        <w:t xml:space="preserve">RF </w:t>
      </w:r>
      <w:r w:rsidRPr="002B4EFE">
        <w:t>channel bandwidth accordingly</w:t>
      </w:r>
    </w:p>
    <w:p w14:paraId="7D08D68E" w14:textId="4A798090" w:rsidR="00A45A4A" w:rsidRDefault="009440F6" w:rsidP="00A45A4A">
      <w:pPr>
        <w:rPr>
          <w:lang w:val="en-GB"/>
        </w:rPr>
      </w:pPr>
      <w:r>
        <w:rPr>
          <w:lang w:val="en-GB"/>
        </w:rPr>
        <w:t>More recently, RAN4 had agreed that only BWPs with bandwidth same as the channel bandwidths set will be tested. From use case point of view, especially for UE power saving use case, it is unclear why coarse bandwidth granularity based on the channel bandwidths set would not be sufficient.</w:t>
      </w:r>
    </w:p>
    <w:p w14:paraId="3245E53C" w14:textId="08F0AB4C" w:rsidR="009440F6" w:rsidRDefault="009440F6" w:rsidP="00A45A4A">
      <w:pPr>
        <w:rPr>
          <w:lang w:val="en-GB"/>
        </w:rPr>
      </w:pPr>
      <w:r>
        <w:rPr>
          <w:lang w:val="en-GB"/>
        </w:rPr>
        <w:t>BWP configuration is part of RRC configuration and is defined in RAN2 specification. PRB granularity for BWP bandwidth configuration should be revisited by RAN1/2/4.</w:t>
      </w:r>
    </w:p>
    <w:p w14:paraId="6E88D4BA" w14:textId="198FE439" w:rsidR="00A45A4A" w:rsidRDefault="00B0407F" w:rsidP="00B0407F">
      <w:pPr>
        <w:pStyle w:val="Caption"/>
        <w:rPr>
          <w:lang w:val="en-GB"/>
        </w:rPr>
      </w:pPr>
      <w:bookmarkStart w:id="129" w:name="_Toc513834899"/>
      <w:r>
        <w:lastRenderedPageBreak/>
        <w:t xml:space="preserve">Proposal </w:t>
      </w:r>
      <w:r>
        <w:fldChar w:fldCharType="begin"/>
      </w:r>
      <w:r>
        <w:instrText xml:space="preserve"> SEQ Proposal \* ARABIC </w:instrText>
      </w:r>
      <w:r>
        <w:fldChar w:fldCharType="separate"/>
      </w:r>
      <w:r w:rsidR="00ED57BA">
        <w:rPr>
          <w:noProof/>
        </w:rPr>
        <w:t>15</w:t>
      </w:r>
      <w:r>
        <w:fldChar w:fldCharType="end"/>
      </w:r>
      <w:r>
        <w:t>: BWP bandwidth configuration can be limited to the set of component carrier bandwidths currently defined in RAN4 for Rel-15. The granularity for RRC signaling can still remain to be PRB level, so no change is needed in RRC signaling. Additional bandwidth settings can be added for Rel-16.</w:t>
      </w:r>
      <w:bookmarkEnd w:id="129"/>
    </w:p>
    <w:p w14:paraId="65CF7F7B" w14:textId="18D76026" w:rsidR="00B0407F" w:rsidRDefault="00B0407F" w:rsidP="00274E57">
      <w:pPr>
        <w:rPr>
          <w:lang w:val="en-GB"/>
        </w:rPr>
      </w:pPr>
    </w:p>
    <w:p w14:paraId="19904C7A" w14:textId="727B930E" w:rsidR="00ED57BA" w:rsidRDefault="00ED57BA" w:rsidP="00ED57BA">
      <w:pPr>
        <w:pStyle w:val="Heading2"/>
      </w:pPr>
      <w:r>
        <w:t>On the RAN1 #91 Working Assumption</w:t>
      </w:r>
      <w:r w:rsidR="001129AB">
        <w:t>s</w:t>
      </w:r>
    </w:p>
    <w:p w14:paraId="3FA4279C" w14:textId="5F82F72A" w:rsidR="00ED57BA" w:rsidRDefault="00ED57BA" w:rsidP="00ED57BA">
      <w:pPr>
        <w:rPr>
          <w:lang w:val="en-GB"/>
        </w:rPr>
      </w:pPr>
      <w:r>
        <w:rPr>
          <w:lang w:val="en-GB"/>
        </w:rPr>
        <w:t xml:space="preserve">There was some email discussion suggesting </w:t>
      </w:r>
      <w:proofErr w:type="gramStart"/>
      <w:r>
        <w:rPr>
          <w:lang w:val="en-GB"/>
        </w:rPr>
        <w:t>to confirm</w:t>
      </w:r>
      <w:proofErr w:type="gramEnd"/>
      <w:r>
        <w:rPr>
          <w:lang w:val="en-GB"/>
        </w:rPr>
        <w:t xml:space="preserve"> the following two working assumptions:</w:t>
      </w:r>
    </w:p>
    <w:p w14:paraId="0FD945E9" w14:textId="77777777" w:rsidR="00ED57BA" w:rsidRDefault="00ED57BA" w:rsidP="00ED57BA">
      <w:pPr>
        <w:rPr>
          <w:lang w:eastAsia="x-none"/>
        </w:rPr>
      </w:pPr>
      <w:r>
        <w:rPr>
          <w:highlight w:val="green"/>
          <w:lang w:eastAsia="x-none"/>
        </w:rPr>
        <w:t>Agreements</w:t>
      </w:r>
      <w:r>
        <w:rPr>
          <w:lang w:eastAsia="x-none"/>
        </w:rPr>
        <w:t>:</w:t>
      </w:r>
    </w:p>
    <w:p w14:paraId="1D5BBC89" w14:textId="77777777" w:rsidR="00ED57BA" w:rsidRDefault="00ED57BA" w:rsidP="00ED57BA">
      <w:pPr>
        <w:numPr>
          <w:ilvl w:val="0"/>
          <w:numId w:val="38"/>
        </w:numPr>
        <w:overflowPunct/>
        <w:autoSpaceDE/>
        <w:autoSpaceDN/>
        <w:adjustRightInd/>
        <w:spacing w:after="0"/>
        <w:textAlignment w:val="auto"/>
        <w:rPr>
          <w:lang w:eastAsia="x-none"/>
        </w:rPr>
      </w:pPr>
      <w:r>
        <w:rPr>
          <w:lang w:eastAsia="x-none"/>
        </w:rPr>
        <w:t xml:space="preserve">C-SS in each DL BWP of the </w:t>
      </w:r>
      <w:proofErr w:type="spellStart"/>
      <w:r>
        <w:rPr>
          <w:lang w:eastAsia="x-none"/>
        </w:rPr>
        <w:t>PCell</w:t>
      </w:r>
      <w:proofErr w:type="spellEnd"/>
      <w:r>
        <w:rPr>
          <w:lang w:eastAsia="x-none"/>
        </w:rPr>
        <w:t>/</w:t>
      </w:r>
      <w:proofErr w:type="spellStart"/>
      <w:r>
        <w:rPr>
          <w:lang w:eastAsia="x-none"/>
        </w:rPr>
        <w:t>PScell</w:t>
      </w:r>
      <w:proofErr w:type="spellEnd"/>
    </w:p>
    <w:p w14:paraId="635C92C8" w14:textId="77777777" w:rsidR="00ED57BA" w:rsidRDefault="00ED57BA" w:rsidP="00ED57BA">
      <w:pPr>
        <w:numPr>
          <w:ilvl w:val="1"/>
          <w:numId w:val="38"/>
        </w:numPr>
        <w:overflowPunct/>
        <w:autoSpaceDE/>
        <w:autoSpaceDN/>
        <w:adjustRightInd/>
        <w:spacing w:after="0"/>
        <w:textAlignment w:val="auto"/>
        <w:rPr>
          <w:lang w:eastAsia="x-none"/>
        </w:rPr>
      </w:pPr>
      <w:r>
        <w:rPr>
          <w:lang w:eastAsia="x-none"/>
        </w:rPr>
        <w:t xml:space="preserve">On C-SS, </w:t>
      </w:r>
      <w:proofErr w:type="spellStart"/>
      <w:proofErr w:type="gramStart"/>
      <w:r>
        <w:rPr>
          <w:lang w:eastAsia="x-none"/>
        </w:rPr>
        <w:t>Y</w:t>
      </w:r>
      <w:r>
        <w:rPr>
          <w:vertAlign w:val="subscript"/>
          <w:lang w:eastAsia="x-none"/>
        </w:rPr>
        <w:t>p</w:t>
      </w:r>
      <w:proofErr w:type="spellEnd"/>
      <w:r>
        <w:rPr>
          <w:vertAlign w:val="subscript"/>
          <w:lang w:eastAsia="x-none"/>
        </w:rPr>
        <w:t xml:space="preserve"> ,</w:t>
      </w:r>
      <w:proofErr w:type="spellStart"/>
      <w:r>
        <w:rPr>
          <w:vertAlign w:val="subscript"/>
          <w:lang w:eastAsia="x-none"/>
        </w:rPr>
        <w:t>kp</w:t>
      </w:r>
      <w:proofErr w:type="spellEnd"/>
      <w:proofErr w:type="gramEnd"/>
      <w:r>
        <w:rPr>
          <w:lang w:eastAsia="x-none"/>
        </w:rPr>
        <w:t>= 0.</w:t>
      </w:r>
    </w:p>
    <w:p w14:paraId="7177F9A4" w14:textId="77777777" w:rsidR="00ED57BA" w:rsidRDefault="00ED57BA" w:rsidP="00ED57BA">
      <w:pPr>
        <w:numPr>
          <w:ilvl w:val="1"/>
          <w:numId w:val="38"/>
        </w:numPr>
        <w:overflowPunct/>
        <w:autoSpaceDE/>
        <w:autoSpaceDN/>
        <w:adjustRightInd/>
        <w:spacing w:after="0"/>
        <w:textAlignment w:val="auto"/>
        <w:rPr>
          <w:lang w:eastAsia="x-none"/>
        </w:rPr>
      </w:pPr>
      <w:r>
        <w:rPr>
          <w:lang w:eastAsia="x-none"/>
        </w:rPr>
        <w:t xml:space="preserve">In Rel.15, </w:t>
      </w:r>
    </w:p>
    <w:p w14:paraId="22B0F381" w14:textId="77777777" w:rsidR="00ED57BA" w:rsidRDefault="00ED57BA" w:rsidP="00ED57BA">
      <w:pPr>
        <w:numPr>
          <w:ilvl w:val="2"/>
          <w:numId w:val="38"/>
        </w:numPr>
        <w:overflowPunct/>
        <w:autoSpaceDE/>
        <w:autoSpaceDN/>
        <w:adjustRightInd/>
        <w:spacing w:after="0"/>
        <w:textAlignment w:val="auto"/>
        <w:rPr>
          <w:lang w:eastAsia="x-none"/>
        </w:rPr>
      </w:pPr>
      <w:r>
        <w:rPr>
          <w:lang w:eastAsia="x-none"/>
        </w:rPr>
        <w:t xml:space="preserve">For scheduling RMSI, OSI, Paging, UE monitors common search space in the </w:t>
      </w:r>
      <w:proofErr w:type="spellStart"/>
      <w:r>
        <w:rPr>
          <w:lang w:eastAsia="x-none"/>
        </w:rPr>
        <w:t>PCell</w:t>
      </w:r>
      <w:proofErr w:type="spellEnd"/>
      <w:r>
        <w:rPr>
          <w:lang w:eastAsia="x-none"/>
        </w:rPr>
        <w:t xml:space="preserve"> only</w:t>
      </w:r>
    </w:p>
    <w:p w14:paraId="797A5721" w14:textId="77777777" w:rsidR="00ED57BA" w:rsidRDefault="00ED57BA" w:rsidP="00ED57BA">
      <w:pPr>
        <w:numPr>
          <w:ilvl w:val="2"/>
          <w:numId w:val="38"/>
        </w:numPr>
        <w:overflowPunct/>
        <w:autoSpaceDE/>
        <w:autoSpaceDN/>
        <w:adjustRightInd/>
        <w:spacing w:after="0"/>
        <w:textAlignment w:val="auto"/>
        <w:rPr>
          <w:lang w:eastAsia="x-none"/>
        </w:rPr>
      </w:pPr>
      <w:r>
        <w:rPr>
          <w:lang w:eastAsia="x-none"/>
        </w:rPr>
        <w:t xml:space="preserve">In addition, for random access and fall back, UE monitors common search space in the </w:t>
      </w:r>
      <w:proofErr w:type="spellStart"/>
      <w:r>
        <w:rPr>
          <w:lang w:eastAsia="x-none"/>
        </w:rPr>
        <w:t>PCell</w:t>
      </w:r>
      <w:proofErr w:type="spellEnd"/>
      <w:r>
        <w:rPr>
          <w:lang w:eastAsia="x-none"/>
        </w:rPr>
        <w:t xml:space="preserve"> and </w:t>
      </w:r>
      <w:proofErr w:type="spellStart"/>
      <w:r>
        <w:rPr>
          <w:lang w:eastAsia="x-none"/>
        </w:rPr>
        <w:t>PSCell</w:t>
      </w:r>
      <w:proofErr w:type="spellEnd"/>
      <w:r>
        <w:rPr>
          <w:lang w:eastAsia="x-none"/>
        </w:rPr>
        <w:t xml:space="preserve"> only</w:t>
      </w:r>
    </w:p>
    <w:p w14:paraId="656D80D3" w14:textId="77777777" w:rsidR="00ED57BA" w:rsidRDefault="00ED57BA" w:rsidP="00ED57BA">
      <w:pPr>
        <w:numPr>
          <w:ilvl w:val="2"/>
          <w:numId w:val="39"/>
        </w:numPr>
        <w:overflowPunct/>
        <w:autoSpaceDE/>
        <w:autoSpaceDN/>
        <w:adjustRightInd/>
        <w:spacing w:after="0"/>
        <w:textAlignment w:val="auto"/>
        <w:rPr>
          <w:strike/>
          <w:sz w:val="36"/>
          <w:szCs w:val="36"/>
          <w:lang w:eastAsia="x-none"/>
        </w:rPr>
      </w:pPr>
      <w:r>
        <w:rPr>
          <w:highlight w:val="darkYellow"/>
          <w:lang w:eastAsia="x-none"/>
        </w:rPr>
        <w:t>Working assumption</w:t>
      </w:r>
      <w:r>
        <w:rPr>
          <w:lang w:eastAsia="x-none"/>
        </w:rPr>
        <w:t xml:space="preserve">: The UE is not expected to be configured without C-SS on the </w:t>
      </w:r>
      <w:proofErr w:type="spellStart"/>
      <w:r>
        <w:rPr>
          <w:lang w:eastAsia="x-none"/>
        </w:rPr>
        <w:t>PCell</w:t>
      </w:r>
      <w:proofErr w:type="spellEnd"/>
      <w:r>
        <w:rPr>
          <w:lang w:eastAsia="x-none"/>
        </w:rPr>
        <w:t xml:space="preserve"> (</w:t>
      </w:r>
      <w:proofErr w:type="spellStart"/>
      <w:r>
        <w:rPr>
          <w:lang w:eastAsia="x-none"/>
        </w:rPr>
        <w:t>PSCell</w:t>
      </w:r>
      <w:proofErr w:type="spellEnd"/>
      <w:r>
        <w:rPr>
          <w:lang w:eastAsia="x-none"/>
        </w:rPr>
        <w:t xml:space="preserve">) in the active DL BWP </w:t>
      </w:r>
    </w:p>
    <w:p w14:paraId="34F417F6" w14:textId="77777777" w:rsidR="00ED57BA" w:rsidRDefault="00ED57BA" w:rsidP="00ED57BA">
      <w:pPr>
        <w:numPr>
          <w:ilvl w:val="3"/>
          <w:numId w:val="39"/>
        </w:numPr>
        <w:overflowPunct/>
        <w:autoSpaceDE/>
        <w:autoSpaceDN/>
        <w:adjustRightInd/>
        <w:spacing w:after="0"/>
        <w:textAlignment w:val="auto"/>
        <w:rPr>
          <w:strike/>
          <w:sz w:val="36"/>
          <w:szCs w:val="36"/>
          <w:lang w:eastAsia="x-none"/>
        </w:rPr>
      </w:pPr>
      <w:r>
        <w:rPr>
          <w:lang w:eastAsia="x-none"/>
        </w:rPr>
        <w:t>NOTE: RAN1 does not expect additional impact on the UE behavior due to not having PRACH resource in the BWP</w:t>
      </w:r>
    </w:p>
    <w:p w14:paraId="13481522" w14:textId="77777777" w:rsidR="00ED57BA" w:rsidRDefault="00ED57BA" w:rsidP="00ED57BA">
      <w:pPr>
        <w:numPr>
          <w:ilvl w:val="1"/>
          <w:numId w:val="38"/>
        </w:numPr>
        <w:overflowPunct/>
        <w:autoSpaceDE/>
        <w:autoSpaceDN/>
        <w:adjustRightInd/>
        <w:spacing w:after="0"/>
        <w:textAlignment w:val="auto"/>
        <w:rPr>
          <w:lang w:eastAsia="x-none"/>
        </w:rPr>
      </w:pPr>
      <w:r>
        <w:rPr>
          <w:highlight w:val="darkYellow"/>
          <w:lang w:eastAsia="x-none"/>
        </w:rPr>
        <w:t>Working assumption</w:t>
      </w:r>
      <w:r>
        <w:rPr>
          <w:lang w:eastAsia="x-none"/>
        </w:rPr>
        <w:t xml:space="preserve">: In Rel.15, </w:t>
      </w:r>
    </w:p>
    <w:p w14:paraId="4F5F67E2" w14:textId="77777777" w:rsidR="00ED57BA" w:rsidRDefault="00ED57BA" w:rsidP="00ED57BA">
      <w:pPr>
        <w:numPr>
          <w:ilvl w:val="2"/>
          <w:numId w:val="38"/>
        </w:numPr>
        <w:overflowPunct/>
        <w:autoSpaceDE/>
        <w:autoSpaceDN/>
        <w:adjustRightInd/>
        <w:spacing w:after="0"/>
        <w:textAlignment w:val="auto"/>
        <w:rPr>
          <w:sz w:val="22"/>
          <w:szCs w:val="22"/>
          <w:lang w:eastAsia="x-none"/>
        </w:rPr>
      </w:pPr>
      <w:r>
        <w:rPr>
          <w:lang w:eastAsia="x-none"/>
        </w:rPr>
        <w:t>A UE is expected to monitor C-SS (if configured) in the activated BWP</w:t>
      </w:r>
    </w:p>
    <w:p w14:paraId="1A211B3A" w14:textId="77777777" w:rsidR="00ED57BA" w:rsidRDefault="00ED57BA" w:rsidP="00ED57BA">
      <w:pPr>
        <w:numPr>
          <w:ilvl w:val="2"/>
          <w:numId w:val="38"/>
        </w:numPr>
        <w:overflowPunct/>
        <w:autoSpaceDE/>
        <w:autoSpaceDN/>
        <w:adjustRightInd/>
        <w:spacing w:after="0"/>
        <w:textAlignment w:val="auto"/>
        <w:rPr>
          <w:lang w:eastAsia="x-none"/>
        </w:rPr>
      </w:pPr>
      <w:r>
        <w:rPr>
          <w:lang w:eastAsia="x-none"/>
        </w:rPr>
        <w:t xml:space="preserve">Full functionalities of C-SS (scheduling RMSI, OSI, Paging, random access, </w:t>
      </w:r>
      <w:proofErr w:type="spellStart"/>
      <w:r>
        <w:rPr>
          <w:lang w:eastAsia="x-none"/>
        </w:rPr>
        <w:t>etc</w:t>
      </w:r>
      <w:proofErr w:type="spellEnd"/>
      <w:r>
        <w:rPr>
          <w:lang w:eastAsia="x-none"/>
        </w:rPr>
        <w:t>) are supported by the C-SS configured by UE-specific RRC signaling.</w:t>
      </w:r>
    </w:p>
    <w:p w14:paraId="031E368C" w14:textId="77777777" w:rsidR="00ED57BA" w:rsidRDefault="00ED57BA" w:rsidP="00ED57BA">
      <w:pPr>
        <w:numPr>
          <w:ilvl w:val="2"/>
          <w:numId w:val="38"/>
        </w:numPr>
        <w:overflowPunct/>
        <w:autoSpaceDE/>
        <w:autoSpaceDN/>
        <w:adjustRightInd/>
        <w:spacing w:after="0"/>
        <w:textAlignment w:val="auto"/>
        <w:rPr>
          <w:lang w:eastAsia="x-none"/>
        </w:rPr>
      </w:pPr>
      <w:r>
        <w:rPr>
          <w:lang w:eastAsia="x-none"/>
        </w:rPr>
        <w:t>All RRC parameters defined for UE-SS are also defined for C-SS that is configured by UE-specific RRC signaling.</w:t>
      </w:r>
    </w:p>
    <w:p w14:paraId="2B0173C8" w14:textId="0E5A3C74" w:rsidR="00ED57BA" w:rsidRDefault="00ED57BA" w:rsidP="00ED57BA">
      <w:pPr>
        <w:rPr>
          <w:lang w:val="en-GB"/>
        </w:rPr>
      </w:pPr>
    </w:p>
    <w:p w14:paraId="6650BDCE" w14:textId="11866236" w:rsidR="00ED57BA" w:rsidRDefault="00ED57BA" w:rsidP="00ED57BA">
      <w:pPr>
        <w:rPr>
          <w:lang w:val="en-GB"/>
        </w:rPr>
      </w:pPr>
      <w:r>
        <w:rPr>
          <w:lang w:val="en-GB"/>
        </w:rPr>
        <w:t>Our view is that these working assumption</w:t>
      </w:r>
      <w:r w:rsidR="001129AB">
        <w:rPr>
          <w:lang w:val="en-GB"/>
        </w:rPr>
        <w:t>s</w:t>
      </w:r>
      <w:r>
        <w:rPr>
          <w:lang w:val="en-GB"/>
        </w:rPr>
        <w:t xml:space="preserve"> provided guidance for further specification work, and RAN2 has </w:t>
      </w:r>
      <w:r w:rsidR="001129AB">
        <w:rPr>
          <w:lang w:val="en-GB"/>
        </w:rPr>
        <w:t xml:space="preserve">done further work based on </w:t>
      </w:r>
      <w:r>
        <w:rPr>
          <w:lang w:val="en-GB"/>
        </w:rPr>
        <w:t xml:space="preserve">these working assumptions. While these working assumptions help to define the UE expectation: </w:t>
      </w:r>
      <w:r w:rsidR="001129AB">
        <w:rPr>
          <w:lang w:val="en-GB"/>
        </w:rPr>
        <w:t xml:space="preserve">i.e. </w:t>
      </w:r>
      <w:r>
        <w:rPr>
          <w:lang w:val="en-GB"/>
        </w:rPr>
        <w:t xml:space="preserve">what UE </w:t>
      </w:r>
      <w:r w:rsidR="001129AB">
        <w:rPr>
          <w:lang w:val="en-GB"/>
        </w:rPr>
        <w:t xml:space="preserve">expects </w:t>
      </w:r>
      <w:r>
        <w:rPr>
          <w:lang w:val="en-GB"/>
        </w:rPr>
        <w:t xml:space="preserve">to handle and </w:t>
      </w:r>
      <w:r w:rsidR="001129AB">
        <w:rPr>
          <w:lang w:val="en-GB"/>
        </w:rPr>
        <w:t>otherwise</w:t>
      </w:r>
      <w:r>
        <w:rPr>
          <w:lang w:val="en-GB"/>
        </w:rPr>
        <w:t>, from the perspective of the NW, it does not have to be restricted to configuring the system as mandated by the working assumptions, as long as the NW understands what the UE expects and is able to accommodate.</w:t>
      </w:r>
    </w:p>
    <w:p w14:paraId="42B72DF7" w14:textId="6EC0B8B9" w:rsidR="001129AB" w:rsidRDefault="001129AB" w:rsidP="00ED57BA">
      <w:pPr>
        <w:rPr>
          <w:lang w:val="en-GB"/>
        </w:rPr>
      </w:pPr>
      <w:r>
        <w:rPr>
          <w:lang w:val="en-GB"/>
        </w:rPr>
        <w:t>In addition, the following RAN1 agreement should be considered alongside above working assumptions:</w:t>
      </w:r>
    </w:p>
    <w:p w14:paraId="307A4DA1" w14:textId="77777777" w:rsidR="001129AB" w:rsidRDefault="001129AB" w:rsidP="001129AB">
      <w:pPr>
        <w:spacing w:after="0"/>
        <w:rPr>
          <w:rFonts w:eastAsia="MS Mincho"/>
          <w:lang w:eastAsia="ja-JP"/>
        </w:rPr>
      </w:pPr>
      <w:r>
        <w:rPr>
          <w:rFonts w:eastAsia="MS Mincho"/>
          <w:b/>
          <w:highlight w:val="green"/>
          <w:u w:val="single"/>
          <w:lang w:eastAsia="ja-JP"/>
        </w:rPr>
        <w:t>Agreement:</w:t>
      </w:r>
      <w:r>
        <w:rPr>
          <w:rFonts w:eastAsia="MS Mincho"/>
          <w:b/>
          <w:u w:val="single"/>
          <w:lang w:eastAsia="ja-JP"/>
        </w:rPr>
        <w:t xml:space="preserve"> (RAN1 NR AH#1706)</w:t>
      </w:r>
    </w:p>
    <w:p w14:paraId="5F00E8C3" w14:textId="77777777" w:rsidR="001129AB" w:rsidRDefault="001129AB" w:rsidP="001129AB">
      <w:pPr>
        <w:numPr>
          <w:ilvl w:val="0"/>
          <w:numId w:val="41"/>
        </w:numPr>
        <w:overflowPunct/>
        <w:autoSpaceDE/>
        <w:autoSpaceDN/>
        <w:adjustRightInd/>
        <w:spacing w:after="0"/>
        <w:textAlignment w:val="auto"/>
        <w:rPr>
          <w:rFonts w:eastAsia="MS Mincho"/>
          <w:lang w:eastAsia="ja-JP"/>
        </w:rPr>
      </w:pPr>
      <w:r>
        <w:rPr>
          <w:rFonts w:eastAsia="MS Mincho"/>
          <w:lang w:eastAsia="ja-JP"/>
        </w:rPr>
        <w:t>At least one of configured DL BWPs includes one CORESET with common search space at least in primary component carrier</w:t>
      </w:r>
    </w:p>
    <w:p w14:paraId="40EE616C" w14:textId="77777777" w:rsidR="001129AB" w:rsidRDefault="001129AB" w:rsidP="001129AB">
      <w:pPr>
        <w:numPr>
          <w:ilvl w:val="0"/>
          <w:numId w:val="41"/>
        </w:numPr>
        <w:overflowPunct/>
        <w:autoSpaceDE/>
        <w:autoSpaceDN/>
        <w:adjustRightInd/>
        <w:spacing w:after="0"/>
        <w:textAlignment w:val="auto"/>
        <w:rPr>
          <w:rFonts w:eastAsia="MS Mincho"/>
          <w:lang w:eastAsia="ja-JP"/>
        </w:rPr>
      </w:pPr>
      <w:r>
        <w:rPr>
          <w:rFonts w:eastAsia="MS Mincho"/>
          <w:lang w:eastAsia="ja-JP"/>
        </w:rPr>
        <w:t>Each configured DL BWP includes at least one CORESET with UE-specific search space for the case of single active BWP at a given time</w:t>
      </w:r>
    </w:p>
    <w:p w14:paraId="141C4B3F" w14:textId="77777777" w:rsidR="001129AB" w:rsidRDefault="001129AB" w:rsidP="001129AB">
      <w:pPr>
        <w:numPr>
          <w:ilvl w:val="1"/>
          <w:numId w:val="41"/>
        </w:numPr>
        <w:overflowPunct/>
        <w:autoSpaceDE/>
        <w:autoSpaceDN/>
        <w:adjustRightInd/>
        <w:spacing w:after="120"/>
        <w:textAlignment w:val="auto"/>
        <w:rPr>
          <w:rFonts w:eastAsia="MS Mincho"/>
          <w:lang w:eastAsia="ja-JP"/>
        </w:rPr>
      </w:pPr>
      <w:r>
        <w:rPr>
          <w:rFonts w:eastAsia="MS Mincho"/>
          <w:lang w:eastAsia="ja-JP"/>
        </w:rPr>
        <w:t>In case of single active BWP at a given time, if active DL BWP does not include common search space, then UE is not required to monitor the common search space</w:t>
      </w:r>
    </w:p>
    <w:p w14:paraId="0814A44D" w14:textId="77777777" w:rsidR="001129AB" w:rsidRDefault="001129AB" w:rsidP="00ED57BA">
      <w:pPr>
        <w:rPr>
          <w:lang w:val="en-GB"/>
        </w:rPr>
      </w:pPr>
    </w:p>
    <w:p w14:paraId="4B4B9047" w14:textId="66EC2DD7" w:rsidR="00ED57BA" w:rsidRDefault="00ED57BA" w:rsidP="00ED57BA">
      <w:pPr>
        <w:rPr>
          <w:lang w:val="en-GB"/>
        </w:rPr>
      </w:pPr>
      <w:r>
        <w:rPr>
          <w:lang w:val="en-GB"/>
        </w:rPr>
        <w:t>The following is one example of recent RAN2 agreement on the same aspect:</w:t>
      </w:r>
    </w:p>
    <w:p w14:paraId="5EA971B6" w14:textId="173B784E" w:rsidR="00ED57BA" w:rsidRPr="0057649E" w:rsidRDefault="00ED57BA" w:rsidP="00ED57BA">
      <w:pPr>
        <w:rPr>
          <w:rFonts w:hint="eastAsia"/>
          <w:b/>
        </w:rPr>
      </w:pPr>
      <w:r>
        <w:rPr>
          <w:rFonts w:hint="eastAsia"/>
          <w:b/>
        </w:rPr>
        <w:t>RAN2 #101</w:t>
      </w:r>
      <w:r w:rsidRPr="0057649E">
        <w:rPr>
          <w:rFonts w:hint="eastAsia"/>
          <w:b/>
        </w:rPr>
        <w:t xml:space="preserve"> Agreement</w:t>
      </w:r>
      <w:r>
        <w:rPr>
          <w:b/>
        </w:rPr>
        <w:t>s</w:t>
      </w:r>
      <w:r w:rsidR="001129AB">
        <w:rPr>
          <w:b/>
        </w:rPr>
        <w:t>:</w:t>
      </w:r>
    </w:p>
    <w:p w14:paraId="257C4396" w14:textId="77777777" w:rsidR="00ED57BA" w:rsidRDefault="00ED57BA" w:rsidP="00ED57BA">
      <w:pPr>
        <w:pStyle w:val="Doc-text2"/>
        <w:numPr>
          <w:ilvl w:val="0"/>
          <w:numId w:val="40"/>
        </w:numPr>
        <w:tabs>
          <w:tab w:val="clear" w:pos="1622"/>
        </w:tabs>
        <w:rPr>
          <w:rFonts w:ascii="Times New Roman" w:hAnsi="Times New Roman"/>
          <w:lang w:val="en-GB"/>
        </w:rPr>
      </w:pPr>
      <w:r>
        <w:rPr>
          <w:rFonts w:ascii="Times New Roman" w:hAnsi="Times New Roman"/>
          <w:lang w:val="en-GB"/>
        </w:rPr>
        <w:t xml:space="preserve"> </w:t>
      </w:r>
      <w:r w:rsidRPr="004F5BEB">
        <w:rPr>
          <w:rFonts w:ascii="Times New Roman" w:hAnsi="Times New Roman"/>
          <w:lang w:val="en-GB"/>
        </w:rPr>
        <w:t xml:space="preserve">Monitoring of paging by the UE and SI reception by the UE is only for the NR </w:t>
      </w:r>
      <w:proofErr w:type="spellStart"/>
      <w:r w:rsidRPr="004F5BEB">
        <w:rPr>
          <w:rFonts w:ascii="Times New Roman" w:hAnsi="Times New Roman"/>
          <w:lang w:val="en-GB"/>
        </w:rPr>
        <w:t>PCell</w:t>
      </w:r>
      <w:proofErr w:type="spellEnd"/>
      <w:r w:rsidRPr="004F5BEB">
        <w:rPr>
          <w:rFonts w:ascii="Times New Roman" w:hAnsi="Times New Roman"/>
          <w:lang w:val="en-GB"/>
        </w:rPr>
        <w:t xml:space="preserve"> while the UE is in connected mode.</w:t>
      </w:r>
    </w:p>
    <w:p w14:paraId="2B399D9F" w14:textId="77777777" w:rsidR="00ED57BA" w:rsidRPr="004F5BEB" w:rsidRDefault="00ED57BA" w:rsidP="00ED57BA">
      <w:pPr>
        <w:pStyle w:val="Doc-text2"/>
        <w:tabs>
          <w:tab w:val="clear" w:pos="1622"/>
        </w:tabs>
        <w:ind w:left="800" w:firstLine="0"/>
        <w:rPr>
          <w:rFonts w:ascii="Times New Roman" w:hAnsi="Times New Roman"/>
          <w:lang w:val="en-GB"/>
        </w:rPr>
      </w:pPr>
    </w:p>
    <w:p w14:paraId="5C60A537" w14:textId="77777777" w:rsidR="00ED57BA" w:rsidRDefault="00ED57BA" w:rsidP="00ED57BA">
      <w:pPr>
        <w:pStyle w:val="Doc-text2"/>
        <w:numPr>
          <w:ilvl w:val="0"/>
          <w:numId w:val="40"/>
        </w:numPr>
        <w:tabs>
          <w:tab w:val="clear" w:pos="1622"/>
        </w:tabs>
        <w:rPr>
          <w:rFonts w:ascii="Times New Roman" w:hAnsi="Times New Roman"/>
          <w:lang w:val="en-GB"/>
        </w:rPr>
      </w:pPr>
      <w:r>
        <w:rPr>
          <w:rFonts w:ascii="Times New Roman" w:hAnsi="Times New Roman"/>
          <w:lang w:val="en-GB"/>
        </w:rPr>
        <w:t xml:space="preserve"> </w:t>
      </w:r>
      <w:r w:rsidRPr="004F5BEB">
        <w:rPr>
          <w:rFonts w:ascii="Times New Roman" w:hAnsi="Times New Roman"/>
          <w:lang w:val="en-GB"/>
        </w:rPr>
        <w:t>Provision of SI required for the connected mode UEs by dedicated signalling is an option for the network</w:t>
      </w:r>
      <w:r>
        <w:rPr>
          <w:rFonts w:ascii="Times New Roman" w:hAnsi="Times New Roman"/>
          <w:lang w:val="en-GB"/>
        </w:rPr>
        <w:t>.</w:t>
      </w:r>
    </w:p>
    <w:p w14:paraId="02AF21A0" w14:textId="77777777" w:rsidR="00ED57BA" w:rsidRPr="004F5BEB" w:rsidRDefault="00ED57BA" w:rsidP="00ED57BA">
      <w:pPr>
        <w:pStyle w:val="Doc-text2"/>
        <w:tabs>
          <w:tab w:val="clear" w:pos="1622"/>
        </w:tabs>
        <w:ind w:left="0" w:firstLine="0"/>
        <w:rPr>
          <w:rFonts w:ascii="Times New Roman" w:hAnsi="Times New Roman"/>
          <w:lang w:val="en-GB"/>
        </w:rPr>
      </w:pPr>
    </w:p>
    <w:p w14:paraId="13A9A728" w14:textId="77777777" w:rsidR="00ED57BA" w:rsidRPr="00790F23" w:rsidRDefault="00ED57BA" w:rsidP="00ED57BA">
      <w:pPr>
        <w:numPr>
          <w:ilvl w:val="0"/>
          <w:numId w:val="40"/>
        </w:numPr>
        <w:jc w:val="both"/>
        <w:rPr>
          <w:rFonts w:eastAsia="MS Mincho"/>
          <w:szCs w:val="24"/>
          <w:lang w:val="x-none" w:eastAsia="x-none"/>
        </w:rPr>
      </w:pPr>
      <w:r w:rsidRPr="00790F23">
        <w:rPr>
          <w:rFonts w:eastAsia="MS Mincho"/>
          <w:szCs w:val="24"/>
          <w:lang w:val="x-none" w:eastAsia="x-none"/>
        </w:rPr>
        <w:t xml:space="preserve"> UE acquires SI broadcast required for the connected mode UE from within the UE's active BWP, if it is provided. (Paging is also provided in UE's active BWP as previously agreed). If it is not provided in the UE's active BWP then the UE does not acquire SI broadcast from within that BWP (i.e. the UE does not switch active BWP autonomously for reception of SI broadcast).</w:t>
      </w:r>
    </w:p>
    <w:p w14:paraId="6E7E6D91" w14:textId="77777777" w:rsidR="00ED57BA" w:rsidRPr="00291429" w:rsidRDefault="00ED57BA" w:rsidP="00ED57BA">
      <w:pPr>
        <w:numPr>
          <w:ilvl w:val="0"/>
          <w:numId w:val="40"/>
        </w:numPr>
        <w:jc w:val="both"/>
        <w:rPr>
          <w:rFonts w:eastAsia="MS Mincho"/>
          <w:szCs w:val="24"/>
          <w:lang w:val="x-none" w:eastAsia="x-none"/>
        </w:rPr>
      </w:pPr>
      <w:r w:rsidRPr="00790F23">
        <w:rPr>
          <w:rFonts w:eastAsia="MS Mincho"/>
          <w:szCs w:val="24"/>
          <w:lang w:val="x-none" w:eastAsia="x-none"/>
        </w:rPr>
        <w:lastRenderedPageBreak/>
        <w:t>RRC_CONNECTED UE monitors for SI update notification in any paging occasion (if the UE is provided with common search space to monitor paging in connected)</w:t>
      </w:r>
    </w:p>
    <w:p w14:paraId="5E60CFE8" w14:textId="15EB9AFF" w:rsidR="00ED57BA" w:rsidRDefault="001129AB" w:rsidP="00ED57BA">
      <w:pPr>
        <w:rPr>
          <w:lang w:val="en-GB"/>
        </w:rPr>
      </w:pPr>
      <w:r>
        <w:rPr>
          <w:lang w:val="en-GB"/>
        </w:rPr>
        <w:t xml:space="preserve">We </w:t>
      </w:r>
      <w:r w:rsidR="00DF6CAF">
        <w:rPr>
          <w:lang w:val="en-GB"/>
        </w:rPr>
        <w:t xml:space="preserve">don’t </w:t>
      </w:r>
      <w:r>
        <w:rPr>
          <w:lang w:val="en-GB"/>
        </w:rPr>
        <w:t xml:space="preserve">see </w:t>
      </w:r>
      <w:r w:rsidR="00DF6CAF">
        <w:rPr>
          <w:lang w:val="en-GB"/>
        </w:rPr>
        <w:t>the</w:t>
      </w:r>
      <w:r>
        <w:rPr>
          <w:lang w:val="en-GB"/>
        </w:rPr>
        <w:t xml:space="preserve"> need to confirm the working assumptions as is.</w:t>
      </w:r>
    </w:p>
    <w:p w14:paraId="18DBDCAD" w14:textId="77777777" w:rsidR="00ED57BA" w:rsidRPr="00ED57BA" w:rsidRDefault="00ED57BA" w:rsidP="00ED57BA">
      <w:pPr>
        <w:rPr>
          <w:lang w:val="en-GB"/>
        </w:rPr>
      </w:pPr>
    </w:p>
    <w:p w14:paraId="16CFBAF1" w14:textId="7203D363" w:rsidR="00E4038C" w:rsidRDefault="00E4038C" w:rsidP="00C227E3">
      <w:pPr>
        <w:pStyle w:val="Heading1"/>
        <w:rPr>
          <w:lang w:eastAsia="zh-CN"/>
        </w:rPr>
      </w:pPr>
      <w:r w:rsidRPr="00C227E3">
        <w:t>Conclusions</w:t>
      </w:r>
    </w:p>
    <w:p w14:paraId="4A7CCD54" w14:textId="308306FC" w:rsidR="00AF5673" w:rsidRDefault="003B4AAF" w:rsidP="00AF5673">
      <w:pPr>
        <w:spacing w:after="120"/>
      </w:pPr>
      <w:r>
        <w:t xml:space="preserve">We discussed some of the remaining issues on BWP. </w:t>
      </w:r>
      <w:r w:rsidR="007B645F">
        <w:t xml:space="preserve">The following </w:t>
      </w:r>
      <w:r w:rsidR="00002E3E">
        <w:t xml:space="preserve">observations and </w:t>
      </w:r>
      <w:r w:rsidR="007B645F">
        <w:t>proposals have been made:</w:t>
      </w:r>
    </w:p>
    <w:p w14:paraId="2DAFCED6" w14:textId="05F47F40" w:rsidR="00002E3E" w:rsidRDefault="00002E3E" w:rsidP="00AF5673">
      <w:pPr>
        <w:spacing w:after="120"/>
      </w:pPr>
    </w:p>
    <w:p w14:paraId="644B2DB7" w14:textId="2E2E3109" w:rsidR="00ED57BA" w:rsidRDefault="00106E61">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"Observation" </w:instrText>
      </w:r>
      <w:r>
        <w:fldChar w:fldCharType="separate"/>
      </w:r>
      <w:hyperlink w:anchor="_Toc513834880" w:history="1">
        <w:r w:rsidR="00ED57BA" w:rsidRPr="00025A4C">
          <w:rPr>
            <w:rStyle w:val="Hyperlink"/>
            <w:noProof/>
          </w:rPr>
          <w:t>Observation 1: For Type 1 allocation, straight-forward application of DCI bit-field truncation/zero-padding rule to frequency-domain resource allocation field would result in resource allocation limitation that can be highly undesirable.</w:t>
        </w:r>
      </w:hyperlink>
    </w:p>
    <w:p w14:paraId="3325B340" w14:textId="717A3AAD"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81" w:history="1">
        <w:r w:rsidRPr="00025A4C">
          <w:rPr>
            <w:rStyle w:val="Hyperlink"/>
            <w:noProof/>
          </w:rPr>
          <w:t>Observation 2: Applying the DCI field transformation rule, when the number of bits in the time-domain resource allocation field is not sufficient to address all the rows in the new BWP’s table, UE expects only the lower-indexed rows, i.e. starting from the first row, can be addressed.</w:t>
        </w:r>
      </w:hyperlink>
    </w:p>
    <w:p w14:paraId="485A7C0F" w14:textId="587E463F"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82" w:history="1">
        <w:r w:rsidRPr="00025A4C">
          <w:rPr>
            <w:rStyle w:val="Hyperlink"/>
            <w:noProof/>
          </w:rPr>
          <w:t>Observation 3: Applying the DCI field transformation rule, when the number of bits in the time-domain resource allocation field contain too many bits for the new BWP’s table, UE expects that only the lower bits are used to sufficiently address all rows in the new BWP’s table.</w:t>
        </w:r>
      </w:hyperlink>
    </w:p>
    <w:p w14:paraId="5256352C" w14:textId="344F185C"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83" w:history="1">
        <w:r w:rsidRPr="00025A4C">
          <w:rPr>
            <w:rStyle w:val="Hyperlink"/>
            <w:noProof/>
          </w:rPr>
          <w:t>Observation 4: DCI Format 1-1 indicating BWP switch is considered to be in effect from the end of last OFDM symbol of the PDCCH carrying DCI to the end of the last symbol of the expected HARQ-ACK corresponding to the PDSCH scheduled by the DCI.</w:t>
        </w:r>
      </w:hyperlink>
    </w:p>
    <w:p w14:paraId="5042BE23" w14:textId="433B93E1"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84" w:history="1">
        <w:r w:rsidRPr="00025A4C">
          <w:rPr>
            <w:rStyle w:val="Hyperlink"/>
            <w:noProof/>
          </w:rPr>
          <w:t>Observation 5: DCI Format 0-1 indicating BWP switch is considered to be in effect from the end of last OFDM symbol of the PDCCH carrying the DCI to the end of the last symbol of the expected PUSCH scheduled by the DCI.</w:t>
        </w:r>
      </w:hyperlink>
    </w:p>
    <w:p w14:paraId="06C74C3C" w14:textId="76F9B2BF" w:rsidR="00106E61" w:rsidRDefault="00106E61" w:rsidP="00AF5673">
      <w:pPr>
        <w:spacing w:after="120"/>
      </w:pPr>
      <w:r>
        <w:fldChar w:fldCharType="end"/>
      </w:r>
    </w:p>
    <w:p w14:paraId="1F531F81" w14:textId="53AD0BD0" w:rsidR="00ED57BA" w:rsidRDefault="00106E61">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"Proposal" </w:instrText>
      </w:r>
      <w:r>
        <w:fldChar w:fldCharType="separate"/>
      </w:r>
      <w:hyperlink w:anchor="_Toc513834885" w:history="1">
        <w:r w:rsidR="00ED57BA" w:rsidRPr="00F27872">
          <w:rPr>
            <w:rStyle w:val="Hyperlink"/>
            <w:noProof/>
          </w:rPr>
          <w:t>Proposal 1: When transforming a DCI field which has zero size in the current BWP to a field with non-zero size in the new BWP, the zero-padding rule works for most fields, but there are exceptions for which default behavior should be explicitly defined. These exceptions should be carefully identified.</w:t>
        </w:r>
      </w:hyperlink>
    </w:p>
    <w:p w14:paraId="52EC6C3B" w14:textId="2E921589"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86" w:history="1">
        <w:r w:rsidRPr="00F27872">
          <w:rPr>
            <w:rStyle w:val="Hyperlink"/>
            <w:noProof/>
          </w:rPr>
          <w:t>Proposal 2: For cross-BWP scheduling, time-domain resource allocation field size is determined based on current BWP, and the new BWP’s table (pdsch-symbolAllocation or pusch-symbolAllocation) is used.</w:t>
        </w:r>
      </w:hyperlink>
    </w:p>
    <w:p w14:paraId="53010181" w14:textId="7E963B15"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87" w:history="1">
        <w:r w:rsidRPr="00F27872">
          <w:rPr>
            <w:rStyle w:val="Hyperlink"/>
            <w:noProof/>
          </w:rPr>
          <w:t>Proposal 3: For cross-BWP scheduling and in case the BWPs have different numerology, the new BWP’s numerology is used for interpretation of k0 or k2 (for DCI Format 1-1 or 0-1 respectively).</w:t>
        </w:r>
      </w:hyperlink>
    </w:p>
    <w:p w14:paraId="68A3852E" w14:textId="2964719C"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88" w:history="1">
        <w:r w:rsidRPr="00F27872">
          <w:rPr>
            <w:rStyle w:val="Hyperlink"/>
            <w:noProof/>
          </w:rPr>
          <w:t>Proposal 4: Add support for null-assignment for BWP switch DCI.</w:t>
        </w:r>
      </w:hyperlink>
    </w:p>
    <w:p w14:paraId="64393550" w14:textId="4A0A8DFC"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89" w:history="1">
        <w:r w:rsidRPr="00F27872">
          <w:rPr>
            <w:rStyle w:val="Hyperlink"/>
            <w:noProof/>
          </w:rPr>
          <w:t xml:space="preserve">Proposal 5: </w:t>
        </w:r>
        <w:r w:rsidRPr="00F27872">
          <w:rPr>
            <w:rStyle w:val="Hyperlink"/>
            <w:rFonts w:ascii="Qualcomm Office Regular" w:hAnsi="Qualcomm Office Regular"/>
            <w:noProof/>
            <w:kern w:val="24"/>
            <w:lang w:val="en-GB"/>
          </w:rPr>
          <w:t xml:space="preserve"> </w:t>
        </w:r>
        <w:r w:rsidRPr="00F27872">
          <w:rPr>
            <w:rStyle w:val="Hyperlink"/>
            <w:noProof/>
            <w:lang w:val="en-GB"/>
          </w:rPr>
          <w:t>For a cell, a UE is not expected to receive a 2</w:t>
        </w:r>
        <w:r w:rsidRPr="00F27872">
          <w:rPr>
            <w:rStyle w:val="Hyperlink"/>
            <w:noProof/>
            <w:vertAlign w:val="superscript"/>
            <w:lang w:val="en-GB"/>
          </w:rPr>
          <w:t>nd</w:t>
        </w:r>
        <w:r w:rsidRPr="00F27872">
          <w:rPr>
            <w:rStyle w:val="Hyperlink"/>
            <w:noProof/>
            <w:lang w:val="en-GB"/>
          </w:rPr>
          <w:t xml:space="preserve"> BWP switching DCI for any link direction before it completes the transmission of HARQ-ACK corresponding to a 1</w:t>
        </w:r>
        <w:r w:rsidRPr="00F27872">
          <w:rPr>
            <w:rStyle w:val="Hyperlink"/>
            <w:noProof/>
            <w:vertAlign w:val="superscript"/>
            <w:lang w:val="en-GB"/>
          </w:rPr>
          <w:t>st</w:t>
        </w:r>
        <w:r w:rsidRPr="00F27872">
          <w:rPr>
            <w:rStyle w:val="Hyperlink"/>
            <w:noProof/>
            <w:lang w:val="en-GB"/>
          </w:rPr>
          <w:t xml:space="preserve"> BWP switching DCI which is for the DL direction.</w:t>
        </w:r>
      </w:hyperlink>
    </w:p>
    <w:p w14:paraId="01BF24B8" w14:textId="1D095E57"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90" w:history="1">
        <w:r w:rsidRPr="00F27872">
          <w:rPr>
            <w:rStyle w:val="Hyperlink"/>
            <w:noProof/>
          </w:rPr>
          <w:t xml:space="preserve">Proposal 6: For a cell, </w:t>
        </w:r>
        <w:r w:rsidRPr="00F27872">
          <w:rPr>
            <w:rStyle w:val="Hyperlink"/>
            <w:noProof/>
            <w:lang w:val="en-GB"/>
          </w:rPr>
          <w:t>a UE is not expected to receive a 2</w:t>
        </w:r>
        <w:r w:rsidRPr="00F27872">
          <w:rPr>
            <w:rStyle w:val="Hyperlink"/>
            <w:noProof/>
            <w:vertAlign w:val="superscript"/>
            <w:lang w:val="en-GB"/>
          </w:rPr>
          <w:t>nd</w:t>
        </w:r>
        <w:r w:rsidRPr="00F27872">
          <w:rPr>
            <w:rStyle w:val="Hyperlink"/>
            <w:noProof/>
            <w:lang w:val="en-GB"/>
          </w:rPr>
          <w:t xml:space="preserve"> BWP switching DCI for any link direction before it completes the transmission of PUSCH corresponding to a 1</w:t>
        </w:r>
        <w:r w:rsidRPr="00F27872">
          <w:rPr>
            <w:rStyle w:val="Hyperlink"/>
            <w:noProof/>
            <w:vertAlign w:val="superscript"/>
            <w:lang w:val="en-GB"/>
          </w:rPr>
          <w:t>st</w:t>
        </w:r>
        <w:r w:rsidRPr="00F27872">
          <w:rPr>
            <w:rStyle w:val="Hyperlink"/>
            <w:noProof/>
            <w:lang w:val="en-GB"/>
          </w:rPr>
          <w:t xml:space="preserve"> BWP switching DCI which is for the UL direction.</w:t>
        </w:r>
      </w:hyperlink>
    </w:p>
    <w:p w14:paraId="1CF0547A" w14:textId="2120ECCF"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91" w:history="1">
        <w:r w:rsidRPr="00F27872">
          <w:rPr>
            <w:rStyle w:val="Hyperlink"/>
            <w:noProof/>
          </w:rPr>
          <w:t>Proposal 7: For unpaired spectrum operation, SRS request triggered by DCI Format 0-1 or 1-1 is dropped during or after a BWP switch.</w:t>
        </w:r>
      </w:hyperlink>
    </w:p>
    <w:p w14:paraId="4AE5978D" w14:textId="5D623786"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92" w:history="1">
        <w:r w:rsidRPr="00F27872">
          <w:rPr>
            <w:rStyle w:val="Hyperlink"/>
            <w:noProof/>
          </w:rPr>
          <w:t>Proposal 8: Upon DL BWP switch, the activated PUSCH-based SP-CSI report setting transitions to inactivated state. New activation message is required to transition the SP-CSI report setting back to activated state.</w:t>
        </w:r>
      </w:hyperlink>
    </w:p>
    <w:p w14:paraId="64F3D4C9" w14:textId="3C114C37"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93" w:history="1">
        <w:r w:rsidRPr="00F27872">
          <w:rPr>
            <w:rStyle w:val="Hyperlink"/>
            <w:noProof/>
          </w:rPr>
          <w:t>Proposal 9: Upon UL BWP switch, the activated PUSCH-based SP-CSI report setting transitions to inactivated state. New activation message is required to transition the SP-CSI report setting back to activated state.</w:t>
        </w:r>
      </w:hyperlink>
    </w:p>
    <w:p w14:paraId="793717AE" w14:textId="34F63C37"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94" w:history="1">
        <w:r w:rsidRPr="00F27872">
          <w:rPr>
            <w:rStyle w:val="Hyperlink"/>
            <w:noProof/>
          </w:rPr>
          <w:t>Proposal 10: A Transition Window shall be specified in the BWP switch, wherein during the Transition window the QCL assumptions for reception of DL Control and Data and transmission of UL control and Data in the new BWP are based on the QCL assumptions derived from the RSs in the old BWP.</w:t>
        </w:r>
      </w:hyperlink>
    </w:p>
    <w:p w14:paraId="5194674B" w14:textId="330F6CEF"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95" w:history="1">
        <w:r w:rsidRPr="00F27872">
          <w:rPr>
            <w:rStyle w:val="Hyperlink"/>
            <w:noProof/>
          </w:rPr>
          <w:t>Proposal 11: A simple rule can be specified to interpret the TCI states for Control/Data during the Transition Window. Transition window can be defined to have a length spanning the start of reception in the new BWP to the first RS transmission occasion in the new BWP.</w:t>
        </w:r>
      </w:hyperlink>
    </w:p>
    <w:p w14:paraId="454B9677" w14:textId="401939C3"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96" w:history="1">
        <w:r w:rsidRPr="00F27872">
          <w:rPr>
            <w:rStyle w:val="Hyperlink"/>
            <w:noProof/>
          </w:rPr>
          <w:t>Proposal 12: For Rel-15, for unpaired spectrum and if SRS feature is enabled, do not support the BWP pair configuration where the UL BWP frequency range is not a superset of that of the DL BWP.</w:t>
        </w:r>
      </w:hyperlink>
    </w:p>
    <w:p w14:paraId="7FD8347C" w14:textId="31183A3B"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97" w:history="1">
        <w:r w:rsidRPr="00F27872">
          <w:rPr>
            <w:rStyle w:val="Hyperlink"/>
            <w:noProof/>
          </w:rPr>
          <w:t>Proposal 13: For Rel-15, introduce Type A BWP adaptation as an UE feature as described.</w:t>
        </w:r>
      </w:hyperlink>
    </w:p>
    <w:p w14:paraId="24627069" w14:textId="5CAF01C7"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98" w:history="1">
        <w:r w:rsidRPr="00F27872">
          <w:rPr>
            <w:rStyle w:val="Hyperlink"/>
            <w:noProof/>
          </w:rPr>
          <w:t>Proposal 14: Add the following condition to UE feature 6-1 Basic BWP operation: “BW of RRC configured DL BWP includes BW of the same initial DL BWP and cell-defining SSB if there is an initial DL BWP in a carrier”</w:t>
        </w:r>
      </w:hyperlink>
    </w:p>
    <w:p w14:paraId="6F7F2D41" w14:textId="071CB094" w:rsidR="00ED57BA" w:rsidRDefault="00ED57BA">
      <w:pPr>
        <w:pStyle w:val="TableofFigures"/>
        <w:tabs>
          <w:tab w:val="right" w:leader="dot" w:pos="9628"/>
        </w:tabs>
        <w:rPr>
          <w:rFonts w:asciiTheme="minorHAnsi" w:eastAsiaTheme="minorEastAsia" w:hAnsiTheme="minorHAnsi" w:cstheme="minorBidi"/>
          <w:noProof/>
          <w:sz w:val="22"/>
          <w:szCs w:val="22"/>
        </w:rPr>
      </w:pPr>
      <w:hyperlink w:anchor="_Toc513834899" w:history="1">
        <w:r w:rsidRPr="00F27872">
          <w:rPr>
            <w:rStyle w:val="Hyperlink"/>
            <w:noProof/>
          </w:rPr>
          <w:t>Proposal 15: BWP bandwidth configuration can be limited to the set of component carrier bandwidths currently defined in RAN4 for Rel-15. The granularity for RRC signaling can still remain to be PRB level, so no change is needed in RRC signaling. Additional bandwidth settings can be added for Rel-16.</w:t>
        </w:r>
      </w:hyperlink>
    </w:p>
    <w:p w14:paraId="1BFC40C8" w14:textId="0BB44F4E" w:rsidR="00685646" w:rsidRPr="00685646" w:rsidRDefault="00106E61" w:rsidP="00685646">
      <w:r>
        <w:fldChar w:fldCharType="end"/>
      </w:r>
    </w:p>
    <w:p w14:paraId="730A85A5" w14:textId="5E40348E" w:rsidR="00C1473E" w:rsidRDefault="00BA6230" w:rsidP="00395DB2">
      <w:pPr>
        <w:pStyle w:val="Heading1"/>
      </w:pPr>
      <w:r>
        <w:t>References</w:t>
      </w:r>
    </w:p>
    <w:p w14:paraId="6DD34B82" w14:textId="606CE746" w:rsidR="007429CA" w:rsidRPr="00642E9F" w:rsidRDefault="007429CA" w:rsidP="00C5144D">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130" w:name="_Ref494300927"/>
      <w:bookmarkStart w:id="131" w:name="_Ref503268227"/>
      <w:bookmarkStart w:id="132" w:name="_Ref506298385"/>
      <w:bookmarkStart w:id="133" w:name="_Ref506575220"/>
      <w:r>
        <w:rPr>
          <w:szCs w:val="22"/>
        </w:rPr>
        <w:t>Chairman’s Notes</w:t>
      </w:r>
      <w:r>
        <w:tab/>
        <w:t>3GPP TSG RAN WG1 #9</w:t>
      </w:r>
      <w:bookmarkEnd w:id="130"/>
      <w:r w:rsidR="008B252A">
        <w:t>1</w:t>
      </w:r>
      <w:bookmarkEnd w:id="131"/>
      <w:bookmarkEnd w:id="132"/>
      <w:bookmarkEnd w:id="133"/>
    </w:p>
    <w:p w14:paraId="0015CE87" w14:textId="2ACE4592" w:rsidR="00642E9F" w:rsidRPr="00FA27B9" w:rsidRDefault="00642E9F" w:rsidP="00A32BAD">
      <w:pPr>
        <w:pStyle w:val="ListParagraph"/>
        <w:numPr>
          <w:ilvl w:val="0"/>
          <w:numId w:val="4"/>
        </w:numPr>
        <w:autoSpaceDN w:val="0"/>
        <w:adjustRightInd w:val="0"/>
        <w:spacing w:before="100" w:beforeAutospacing="1" w:after="100" w:afterAutospacing="1"/>
        <w:jc w:val="both"/>
      </w:pPr>
      <w:bookmarkStart w:id="134" w:name="_Ref503538761"/>
      <w:bookmarkStart w:id="135" w:name="_Ref506514750"/>
      <w:r w:rsidRPr="00642E9F">
        <w:rPr>
          <w:rFonts w:eastAsia="SimSun"/>
          <w:lang w:val="en-US" w:eastAsia="ar-SA"/>
        </w:rPr>
        <w:t>3GPP TS 38.214 V15.0.0, NR; Physical Layer Procedures for Data (Release 15).</w:t>
      </w:r>
      <w:bookmarkStart w:id="136" w:name="_Ref503536992"/>
      <w:bookmarkEnd w:id="134"/>
      <w:bookmarkEnd w:id="135"/>
    </w:p>
    <w:p w14:paraId="0E11133F" w14:textId="2934E0E9" w:rsidR="001437FC" w:rsidRDefault="001437FC" w:rsidP="001437FC">
      <w:pPr>
        <w:pStyle w:val="ListParagraph"/>
        <w:numPr>
          <w:ilvl w:val="0"/>
          <w:numId w:val="4"/>
        </w:numPr>
        <w:autoSpaceDN w:val="0"/>
        <w:adjustRightInd w:val="0"/>
        <w:spacing w:before="100" w:beforeAutospacing="1" w:after="100" w:afterAutospacing="1"/>
        <w:jc w:val="both"/>
      </w:pPr>
      <w:bookmarkStart w:id="137" w:name="_Ref506295683"/>
      <w:bookmarkEnd w:id="136"/>
      <w:r w:rsidRPr="001437FC">
        <w:t>R1-1801102, Outcome of offline discussion on 7.3.3.1 (resource allocation) – part II, Ericsson</w:t>
      </w:r>
      <w:bookmarkEnd w:id="137"/>
    </w:p>
    <w:p w14:paraId="6CA51785" w14:textId="274396E5" w:rsidR="00A113B9" w:rsidRDefault="00A113B9" w:rsidP="001437FC">
      <w:pPr>
        <w:pStyle w:val="ListParagraph"/>
        <w:numPr>
          <w:ilvl w:val="0"/>
          <w:numId w:val="4"/>
        </w:numPr>
        <w:autoSpaceDN w:val="0"/>
        <w:adjustRightInd w:val="0"/>
        <w:spacing w:before="100" w:beforeAutospacing="1" w:after="100" w:afterAutospacing="1"/>
        <w:jc w:val="both"/>
      </w:pPr>
      <w:bookmarkStart w:id="138" w:name="_Ref506295816"/>
      <w:r>
        <w:t>Chairman’s Notes</w:t>
      </w:r>
      <w:r>
        <w:tab/>
        <w:t>3GPP TSG RAN WG1 NR AH1801</w:t>
      </w:r>
      <w:bookmarkEnd w:id="138"/>
    </w:p>
    <w:p w14:paraId="1049B9EA" w14:textId="0C4CAD3A" w:rsidR="00C4014D" w:rsidRDefault="004446AE" w:rsidP="004446AE">
      <w:pPr>
        <w:pStyle w:val="ListParagraph"/>
        <w:numPr>
          <w:ilvl w:val="0"/>
          <w:numId w:val="4"/>
        </w:numPr>
        <w:autoSpaceDN w:val="0"/>
        <w:adjustRightInd w:val="0"/>
        <w:spacing w:before="100" w:beforeAutospacing="1" w:after="100" w:afterAutospacing="1"/>
        <w:jc w:val="both"/>
      </w:pPr>
      <w:bookmarkStart w:id="139" w:name="_Ref510276323"/>
      <w:r w:rsidRPr="004446AE">
        <w:t>R1-1804809</w:t>
      </w:r>
      <w:r w:rsidR="00C4014D">
        <w:t>, “Remaining issues on BWP”, RAN1 #92</w:t>
      </w:r>
      <w:r>
        <w:t>bis</w:t>
      </w:r>
      <w:r w:rsidR="00C4014D">
        <w:t>, Qualcomm.</w:t>
      </w:r>
      <w:bookmarkEnd w:id="139"/>
    </w:p>
    <w:p w14:paraId="58BF064B" w14:textId="0620E85D" w:rsidR="0097109D" w:rsidRDefault="0097109D" w:rsidP="0097109D">
      <w:pPr>
        <w:pStyle w:val="ListParagraph"/>
        <w:numPr>
          <w:ilvl w:val="0"/>
          <w:numId w:val="4"/>
        </w:numPr>
        <w:autoSpaceDN w:val="0"/>
        <w:adjustRightInd w:val="0"/>
        <w:spacing w:before="100" w:beforeAutospacing="1" w:after="100" w:afterAutospacing="1"/>
        <w:jc w:val="both"/>
      </w:pPr>
      <w:bookmarkStart w:id="140" w:name="_Ref510329242"/>
      <w:r w:rsidRPr="0097109D">
        <w:t>R1-1802539</w:t>
      </w:r>
      <w:r>
        <w:t>, “</w:t>
      </w:r>
      <w:r w:rsidRPr="0097109D">
        <w:t>On remaining details on BWPs</w:t>
      </w:r>
      <w:r>
        <w:t xml:space="preserve">”, RAN1 #92, </w:t>
      </w:r>
      <w:r w:rsidRPr="0097109D">
        <w:t>Nokia, Nokia Shanghai Bell</w:t>
      </w:r>
      <w:r>
        <w:t>.</w:t>
      </w:r>
      <w:bookmarkEnd w:id="140"/>
    </w:p>
    <w:p w14:paraId="4C09436C" w14:textId="0273C094" w:rsidR="004E604D" w:rsidRDefault="004E604D" w:rsidP="0097109D">
      <w:pPr>
        <w:pStyle w:val="ListParagraph"/>
        <w:numPr>
          <w:ilvl w:val="0"/>
          <w:numId w:val="4"/>
        </w:numPr>
        <w:autoSpaceDN w:val="0"/>
        <w:adjustRightInd w:val="0"/>
        <w:spacing w:before="100" w:beforeAutospacing="1" w:after="100" w:afterAutospacing="1"/>
        <w:jc w:val="both"/>
      </w:pPr>
      <w:bookmarkStart w:id="141" w:name="_Ref510358192"/>
      <w:r>
        <w:t>Chairman’s Notes</w:t>
      </w:r>
      <w:r>
        <w:tab/>
        <w:t>3GPP TSG RAN WG1 #92</w:t>
      </w:r>
      <w:bookmarkEnd w:id="141"/>
    </w:p>
    <w:p w14:paraId="2DAFAD28" w14:textId="336E96CE" w:rsidR="009068B5" w:rsidRDefault="00785050" w:rsidP="00785050">
      <w:pPr>
        <w:pStyle w:val="ListParagraph"/>
        <w:numPr>
          <w:ilvl w:val="0"/>
          <w:numId w:val="4"/>
        </w:numPr>
        <w:autoSpaceDN w:val="0"/>
        <w:adjustRightInd w:val="0"/>
        <w:spacing w:before="100" w:beforeAutospacing="1" w:after="100" w:afterAutospacing="1"/>
        <w:jc w:val="both"/>
      </w:pPr>
      <w:bookmarkStart w:id="142" w:name="_Ref510807220"/>
      <w:r w:rsidRPr="00785050">
        <w:t>R1-1807351</w:t>
      </w:r>
      <w:r w:rsidR="009068B5">
        <w:t>, “</w:t>
      </w:r>
      <w:r w:rsidR="00160B3D" w:rsidRPr="00160B3D">
        <w:t>Remaining details on QCL</w:t>
      </w:r>
      <w:r w:rsidR="009068B5">
        <w:t>”, RAN1 #9</w:t>
      </w:r>
      <w:r>
        <w:t>3</w:t>
      </w:r>
      <w:r w:rsidR="009068B5">
        <w:t>, Qualcomm</w:t>
      </w:r>
      <w:bookmarkEnd w:id="142"/>
    </w:p>
    <w:p w14:paraId="7FF2F35E" w14:textId="4E60E3C3" w:rsidR="00802C27" w:rsidRDefault="00802C27" w:rsidP="00160B3D">
      <w:pPr>
        <w:pStyle w:val="ListParagraph"/>
        <w:numPr>
          <w:ilvl w:val="0"/>
          <w:numId w:val="4"/>
        </w:numPr>
        <w:autoSpaceDN w:val="0"/>
        <w:adjustRightInd w:val="0"/>
        <w:spacing w:before="100" w:beforeAutospacing="1" w:after="100" w:afterAutospacing="1"/>
        <w:jc w:val="both"/>
      </w:pPr>
      <w:bookmarkStart w:id="143" w:name="_Ref513763115"/>
      <w:r>
        <w:t>Chairman’s Notes</w:t>
      </w:r>
      <w:r>
        <w:tab/>
        <w:t>3GPP TSG RAN WG1 #92bis</w:t>
      </w:r>
      <w:bookmarkEnd w:id="143"/>
    </w:p>
    <w:p w14:paraId="760E8CF9" w14:textId="349C1914" w:rsidR="008E719C" w:rsidRDefault="008E719C" w:rsidP="008E719C">
      <w:pPr>
        <w:pStyle w:val="ListParagraph"/>
        <w:numPr>
          <w:ilvl w:val="0"/>
          <w:numId w:val="4"/>
        </w:numPr>
        <w:autoSpaceDN w:val="0"/>
        <w:adjustRightInd w:val="0"/>
        <w:spacing w:before="100" w:beforeAutospacing="1" w:after="100" w:afterAutospacing="1"/>
        <w:jc w:val="both"/>
      </w:pPr>
      <w:bookmarkStart w:id="144" w:name="_Ref513763519"/>
      <w:r>
        <w:t>R1-1805750, “</w:t>
      </w:r>
      <w:r w:rsidRPr="008E719C">
        <w:t>Summary of Bandwidth Part Remaining Issues</w:t>
      </w:r>
      <w:r>
        <w:t xml:space="preserve">”, RAN1 #92bis, </w:t>
      </w:r>
      <w:proofErr w:type="spellStart"/>
      <w:r>
        <w:t>Mediatek</w:t>
      </w:r>
      <w:bookmarkEnd w:id="144"/>
      <w:proofErr w:type="spellEnd"/>
    </w:p>
    <w:p w14:paraId="637AEF9A" w14:textId="6178077D" w:rsidR="00785050" w:rsidRPr="000A2438" w:rsidRDefault="00785050" w:rsidP="00785050">
      <w:pPr>
        <w:pStyle w:val="ListParagraph"/>
        <w:numPr>
          <w:ilvl w:val="0"/>
          <w:numId w:val="4"/>
        </w:numPr>
        <w:autoSpaceDN w:val="0"/>
        <w:adjustRightInd w:val="0"/>
        <w:spacing w:before="100" w:beforeAutospacing="1" w:after="100" w:afterAutospacing="1"/>
        <w:jc w:val="both"/>
      </w:pPr>
      <w:bookmarkStart w:id="145" w:name="_Ref513793488"/>
      <w:r w:rsidRPr="00785050">
        <w:t>R1-180734</w:t>
      </w:r>
      <w:r w:rsidR="002F1A1B">
        <w:t>0</w:t>
      </w:r>
      <w:r>
        <w:t>, “</w:t>
      </w:r>
      <w:r w:rsidRPr="00785050">
        <w:t>Maintenance for CSI Reporting</w:t>
      </w:r>
      <w:r>
        <w:t>”, RAN1 #93, Qualcomm</w:t>
      </w:r>
      <w:bookmarkEnd w:id="145"/>
    </w:p>
    <w:p w14:paraId="13FAAD42" w14:textId="35DC459A" w:rsidR="00BA6230" w:rsidRDefault="00BA6230" w:rsidP="002B15CF"/>
    <w:p w14:paraId="18E55F07" w14:textId="2181F0F8" w:rsidR="00A91B4C" w:rsidRDefault="00A91B4C" w:rsidP="00A91B4C">
      <w:pPr>
        <w:pStyle w:val="Heading1"/>
      </w:pPr>
      <w:r>
        <w:t>Appendix</w:t>
      </w:r>
    </w:p>
    <w:p w14:paraId="3FCB6349" w14:textId="77777777" w:rsidR="00A91B4C" w:rsidRDefault="00A91B4C" w:rsidP="00D35815">
      <w:pPr>
        <w:pStyle w:val="Heading2"/>
      </w:pPr>
      <w:bookmarkStart w:id="146" w:name="_Ref506306571"/>
      <w:bookmarkStart w:id="147" w:name="_Ref510687668"/>
      <w:r>
        <w:t>Analysis of DCI Field Transformation</w:t>
      </w:r>
      <w:bookmarkEnd w:id="146"/>
      <w:bookmarkEnd w:id="147"/>
    </w:p>
    <w:p w14:paraId="26338FFF" w14:textId="393636D5" w:rsidR="00A11B8B" w:rsidRDefault="00A11B8B" w:rsidP="00A91B4C">
      <w:pPr>
        <w:rPr>
          <w:lang w:val="en-GB"/>
        </w:rPr>
      </w:pPr>
      <w:r>
        <w:rPr>
          <w:lang w:val="en-GB"/>
        </w:rPr>
        <w:t>(</w:t>
      </w:r>
      <w:r w:rsidRPr="00A11B8B">
        <w:rPr>
          <w:i/>
          <w:lang w:val="en-GB"/>
        </w:rPr>
        <w:t>This section is based on resubmissions</w:t>
      </w:r>
      <w:r w:rsidR="00BB3F27">
        <w:rPr>
          <w:i/>
          <w:lang w:val="en-GB"/>
        </w:rPr>
        <w:t xml:space="preserve"> </w:t>
      </w:r>
      <w:r w:rsidR="00BB3F27">
        <w:rPr>
          <w:i/>
          <w:lang w:val="en-GB"/>
        </w:rPr>
        <w:fldChar w:fldCharType="begin"/>
      </w:r>
      <w:r w:rsidR="00BB3F27">
        <w:rPr>
          <w:i/>
          <w:lang w:val="en-GB"/>
        </w:rPr>
        <w:instrText xml:space="preserve"> REF _Ref510276323 \r \h </w:instrText>
      </w:r>
      <w:r w:rsidR="00BB3F27">
        <w:rPr>
          <w:i/>
          <w:lang w:val="en-GB"/>
        </w:rPr>
      </w:r>
      <w:r w:rsidR="00BB3F27">
        <w:rPr>
          <w:i/>
          <w:lang w:val="en-GB"/>
        </w:rPr>
        <w:fldChar w:fldCharType="separate"/>
      </w:r>
      <w:r w:rsidR="00ED57BA">
        <w:rPr>
          <w:i/>
          <w:lang w:val="en-GB"/>
        </w:rPr>
        <w:t>[5]</w:t>
      </w:r>
      <w:r w:rsidR="00BB3F27">
        <w:rPr>
          <w:i/>
          <w:lang w:val="en-GB"/>
        </w:rPr>
        <w:fldChar w:fldCharType="end"/>
      </w:r>
      <w:r w:rsidR="00BB3F27">
        <w:rPr>
          <w:rStyle w:val="CommentReference"/>
          <w:lang w:eastAsia="x-none"/>
        </w:rPr>
        <w:t xml:space="preserve"> </w:t>
      </w:r>
      <w:r>
        <w:rPr>
          <w:lang w:val="en-GB"/>
        </w:rPr>
        <w:t>)</w:t>
      </w:r>
    </w:p>
    <w:p w14:paraId="78ACAE2C" w14:textId="5E0FFB96" w:rsidR="00A91B4C" w:rsidRDefault="00A91B4C" w:rsidP="00A91B4C">
      <w:pPr>
        <w:rPr>
          <w:lang w:val="en-GB"/>
        </w:rPr>
      </w:pPr>
      <w:r>
        <w:rPr>
          <w:lang w:val="en-GB"/>
        </w:rPr>
        <w:t>Our approach for the analysis is as follows:</w:t>
      </w:r>
    </w:p>
    <w:p w14:paraId="13A2D934" w14:textId="77777777" w:rsidR="00A91B4C" w:rsidRDefault="00A91B4C" w:rsidP="00A91B4C">
      <w:pPr>
        <w:pStyle w:val="ListParagraph"/>
        <w:numPr>
          <w:ilvl w:val="0"/>
          <w:numId w:val="14"/>
        </w:numPr>
      </w:pPr>
      <w:r>
        <w:t>Determine the DCI fields in Format 0_1 and 1_1 whose sizes are dependent on BWP configuration or RRC parameters which can be BWP-specific</w:t>
      </w:r>
    </w:p>
    <w:p w14:paraId="6973663F" w14:textId="77777777" w:rsidR="00A91B4C" w:rsidRDefault="00A91B4C" w:rsidP="00A91B4C">
      <w:pPr>
        <w:pStyle w:val="ListParagraph"/>
        <w:numPr>
          <w:ilvl w:val="0"/>
          <w:numId w:val="14"/>
        </w:numPr>
      </w:pPr>
      <w:r>
        <w:t>Evaluate the impact of applying DCI field transformation, and highlight any major issues</w:t>
      </w:r>
    </w:p>
    <w:p w14:paraId="0B266E3C" w14:textId="77777777" w:rsidR="00A91B4C" w:rsidRDefault="00A91B4C" w:rsidP="00A91B4C">
      <w:pPr>
        <w:pStyle w:val="ListParagraph"/>
        <w:numPr>
          <w:ilvl w:val="0"/>
          <w:numId w:val="14"/>
        </w:numPr>
      </w:pPr>
      <w:r>
        <w:t>Recommend potential solutions addressing the identified issues</w:t>
      </w:r>
    </w:p>
    <w:p w14:paraId="5C5FA420" w14:textId="77777777" w:rsidR="00A91B4C" w:rsidRPr="00370372" w:rsidRDefault="00A91B4C" w:rsidP="00A91B4C"/>
    <w:p w14:paraId="5C283F88" w14:textId="77777777" w:rsidR="00A91B4C" w:rsidRDefault="00A91B4C" w:rsidP="00BB3F27">
      <w:pPr>
        <w:pStyle w:val="Heading3"/>
      </w:pPr>
      <w:r>
        <w:t>Summary</w:t>
      </w:r>
      <w:r w:rsidRPr="000C3FE9">
        <w:t xml:space="preserve"> of DL scheduling DCI (Format 1-1) fields </w:t>
      </w:r>
      <w:r>
        <w:t>with BWP-dependent size</w:t>
      </w:r>
    </w:p>
    <w:tbl>
      <w:tblPr>
        <w:tblStyle w:val="TableGrid"/>
        <w:tblW w:w="0" w:type="auto"/>
        <w:tblLook w:val="04A0" w:firstRow="1" w:lastRow="0" w:firstColumn="1" w:lastColumn="0" w:noHBand="0" w:noVBand="1"/>
      </w:tblPr>
      <w:tblGrid>
        <w:gridCol w:w="1938"/>
        <w:gridCol w:w="1014"/>
        <w:gridCol w:w="2173"/>
        <w:gridCol w:w="1350"/>
        <w:gridCol w:w="3153"/>
      </w:tblGrid>
      <w:tr w:rsidR="00A91B4C" w14:paraId="691B8B44" w14:textId="77777777" w:rsidTr="00A91B4C">
        <w:tc>
          <w:tcPr>
            <w:tcW w:w="1938" w:type="dxa"/>
          </w:tcPr>
          <w:p w14:paraId="0F1A316E" w14:textId="77777777" w:rsidR="00A91B4C" w:rsidRDefault="00A91B4C" w:rsidP="00A91B4C">
            <w:pPr>
              <w:rPr>
                <w:lang w:val="en-GB"/>
              </w:rPr>
            </w:pPr>
          </w:p>
        </w:tc>
        <w:tc>
          <w:tcPr>
            <w:tcW w:w="1014" w:type="dxa"/>
          </w:tcPr>
          <w:p w14:paraId="7AE70773" w14:textId="77777777" w:rsidR="00A91B4C" w:rsidRPr="008C1E59" w:rsidRDefault="00A91B4C" w:rsidP="00A91B4C">
            <w:pPr>
              <w:jc w:val="left"/>
              <w:rPr>
                <w:b/>
                <w:lang w:val="en-GB"/>
              </w:rPr>
            </w:pPr>
            <w:r w:rsidRPr="008C1E59">
              <w:rPr>
                <w:b/>
                <w:lang w:val="en-GB"/>
              </w:rPr>
              <w:t>Size (bits)</w:t>
            </w:r>
          </w:p>
        </w:tc>
        <w:tc>
          <w:tcPr>
            <w:tcW w:w="2173" w:type="dxa"/>
          </w:tcPr>
          <w:p w14:paraId="0C15B35A" w14:textId="77777777" w:rsidR="00A91B4C" w:rsidRPr="008C1E59" w:rsidRDefault="00A91B4C" w:rsidP="00A91B4C">
            <w:pPr>
              <w:jc w:val="left"/>
              <w:rPr>
                <w:b/>
                <w:lang w:val="en-GB"/>
              </w:rPr>
            </w:pPr>
            <w:r w:rsidRPr="008C1E59">
              <w:rPr>
                <w:b/>
                <w:lang w:val="en-GB"/>
              </w:rPr>
              <w:t>RRC param dependence</w:t>
            </w:r>
          </w:p>
        </w:tc>
        <w:tc>
          <w:tcPr>
            <w:tcW w:w="1350" w:type="dxa"/>
          </w:tcPr>
          <w:p w14:paraId="378E3ED1" w14:textId="77777777" w:rsidR="00A91B4C" w:rsidRPr="008C1E59" w:rsidRDefault="00A91B4C" w:rsidP="00A91B4C">
            <w:pPr>
              <w:jc w:val="left"/>
              <w:rPr>
                <w:b/>
                <w:lang w:val="en-GB"/>
              </w:rPr>
            </w:pPr>
            <w:r>
              <w:rPr>
                <w:b/>
                <w:lang w:val="en-GB"/>
              </w:rPr>
              <w:t xml:space="preserve">Present in </w:t>
            </w:r>
            <w:proofErr w:type="spellStart"/>
            <w:r>
              <w:rPr>
                <w:b/>
                <w:lang w:val="en-GB"/>
              </w:rPr>
              <w:t>fallback</w:t>
            </w:r>
            <w:proofErr w:type="spellEnd"/>
            <w:r>
              <w:rPr>
                <w:b/>
                <w:lang w:val="en-GB"/>
              </w:rPr>
              <w:t xml:space="preserve"> (Format 1-0)</w:t>
            </w:r>
          </w:p>
        </w:tc>
        <w:tc>
          <w:tcPr>
            <w:tcW w:w="3153" w:type="dxa"/>
          </w:tcPr>
          <w:p w14:paraId="670C9777" w14:textId="77777777" w:rsidR="00A91B4C" w:rsidRPr="008C1E59" w:rsidRDefault="00A91B4C" w:rsidP="00A91B4C">
            <w:pPr>
              <w:jc w:val="left"/>
              <w:rPr>
                <w:b/>
                <w:lang w:val="en-GB"/>
              </w:rPr>
            </w:pPr>
            <w:r w:rsidRPr="008C1E59">
              <w:rPr>
                <w:b/>
                <w:lang w:val="en-GB"/>
              </w:rPr>
              <w:t xml:space="preserve">Impact of </w:t>
            </w:r>
            <w:r>
              <w:rPr>
                <w:b/>
                <w:lang w:val="en-GB"/>
              </w:rPr>
              <w:t xml:space="preserve">mismatched size (i.e. small to large by </w:t>
            </w:r>
            <w:r w:rsidRPr="008C1E59">
              <w:rPr>
                <w:b/>
                <w:lang w:val="en-GB"/>
              </w:rPr>
              <w:t>zero-padding</w:t>
            </w:r>
            <w:r>
              <w:rPr>
                <w:b/>
                <w:lang w:val="en-GB"/>
              </w:rPr>
              <w:t>)</w:t>
            </w:r>
          </w:p>
        </w:tc>
      </w:tr>
      <w:tr w:rsidR="00A91B4C" w14:paraId="55E02E2C" w14:textId="77777777" w:rsidTr="00A91B4C">
        <w:tc>
          <w:tcPr>
            <w:tcW w:w="1938" w:type="dxa"/>
          </w:tcPr>
          <w:p w14:paraId="60BAA424" w14:textId="77777777" w:rsidR="00A91B4C" w:rsidRPr="00790865" w:rsidRDefault="00A91B4C" w:rsidP="00A91B4C">
            <w:pPr>
              <w:jc w:val="left"/>
            </w:pPr>
            <w:r w:rsidRPr="00E73ED6">
              <w:t>Freq-domain</w:t>
            </w:r>
            <w:r>
              <w:t xml:space="preserve"> </w:t>
            </w:r>
            <w:r w:rsidRPr="00E73ED6">
              <w:t xml:space="preserve">resource assignment </w:t>
            </w:r>
          </w:p>
        </w:tc>
        <w:tc>
          <w:tcPr>
            <w:tcW w:w="3187" w:type="dxa"/>
            <w:gridSpan w:val="2"/>
          </w:tcPr>
          <w:p w14:paraId="7337DD41" w14:textId="597E3E9A" w:rsidR="00A91B4C" w:rsidRDefault="00A91B4C" w:rsidP="00A91B4C">
            <w:pPr>
              <w:jc w:val="left"/>
              <w:rPr>
                <w:lang w:val="en-GB"/>
              </w:rPr>
            </w:pPr>
            <w:r>
              <w:rPr>
                <w:lang w:val="en-GB"/>
              </w:rPr>
              <w:t xml:space="preserve">(See Section </w:t>
            </w:r>
            <w:r>
              <w:rPr>
                <w:lang w:val="en-GB"/>
              </w:rPr>
              <w:fldChar w:fldCharType="begin"/>
            </w:r>
            <w:r>
              <w:rPr>
                <w:lang w:val="en-GB"/>
              </w:rPr>
              <w:instrText xml:space="preserve"> REF _Ref506507851 \r \h  \* MERGEFORMAT </w:instrText>
            </w:r>
            <w:r>
              <w:rPr>
                <w:lang w:val="en-GB"/>
              </w:rPr>
            </w:r>
            <w:r>
              <w:rPr>
                <w:lang w:val="en-GB"/>
              </w:rPr>
              <w:fldChar w:fldCharType="separate"/>
            </w:r>
            <w:r w:rsidR="00ED57BA">
              <w:rPr>
                <w:lang w:val="en-GB"/>
              </w:rPr>
              <w:t>2.1.3</w:t>
            </w:r>
            <w:r>
              <w:rPr>
                <w:lang w:val="en-GB"/>
              </w:rPr>
              <w:fldChar w:fldCharType="end"/>
            </w:r>
            <w:r>
              <w:rPr>
                <w:lang w:val="en-GB"/>
              </w:rPr>
              <w:t xml:space="preserve"> for detail discussion)</w:t>
            </w:r>
          </w:p>
        </w:tc>
        <w:tc>
          <w:tcPr>
            <w:tcW w:w="1350" w:type="dxa"/>
          </w:tcPr>
          <w:p w14:paraId="41300132" w14:textId="77777777" w:rsidR="00A91B4C" w:rsidRPr="00E73ED6" w:rsidRDefault="00A91B4C" w:rsidP="00A91B4C">
            <w:pPr>
              <w:jc w:val="left"/>
            </w:pPr>
            <w:r>
              <w:t>Y</w:t>
            </w:r>
          </w:p>
        </w:tc>
        <w:tc>
          <w:tcPr>
            <w:tcW w:w="3153" w:type="dxa"/>
          </w:tcPr>
          <w:p w14:paraId="69AABB4B" w14:textId="77777777" w:rsidR="00A91B4C" w:rsidRPr="00117A90" w:rsidRDefault="00A91B4C" w:rsidP="00A91B4C">
            <w:pPr>
              <w:jc w:val="left"/>
            </w:pPr>
            <w:r w:rsidRPr="00E73ED6">
              <w:t xml:space="preserve">Some </w:t>
            </w:r>
            <w:r>
              <w:t>PRB</w:t>
            </w:r>
            <w:r w:rsidRPr="00E73ED6">
              <w:t xml:space="preserve"> may not be schedulable</w:t>
            </w:r>
          </w:p>
        </w:tc>
      </w:tr>
      <w:tr w:rsidR="00A91B4C" w14:paraId="7D76D2C4" w14:textId="77777777" w:rsidTr="00A91B4C">
        <w:tc>
          <w:tcPr>
            <w:tcW w:w="1938" w:type="dxa"/>
          </w:tcPr>
          <w:p w14:paraId="1458267A" w14:textId="77777777" w:rsidR="00A91B4C" w:rsidRDefault="00A91B4C" w:rsidP="00A91B4C">
            <w:pPr>
              <w:jc w:val="left"/>
              <w:rPr>
                <w:lang w:val="en-GB"/>
              </w:rPr>
            </w:pPr>
            <w:r w:rsidRPr="00A71F72">
              <w:rPr>
                <w:color w:val="000000" w:themeColor="text1"/>
                <w:lang w:val="en-GB"/>
              </w:rPr>
              <w:t>Time-domain resource assignment</w:t>
            </w:r>
          </w:p>
        </w:tc>
        <w:tc>
          <w:tcPr>
            <w:tcW w:w="1014" w:type="dxa"/>
          </w:tcPr>
          <w:p w14:paraId="14C8DDA8" w14:textId="77777777" w:rsidR="00A91B4C" w:rsidRDefault="00A91B4C" w:rsidP="00A91B4C">
            <w:pPr>
              <w:jc w:val="left"/>
              <w:rPr>
                <w:lang w:val="en-GB"/>
              </w:rPr>
            </w:pPr>
            <w:r>
              <w:rPr>
                <w:lang w:val="en-GB"/>
              </w:rPr>
              <w:t>0,1,2,3,4</w:t>
            </w:r>
          </w:p>
        </w:tc>
        <w:tc>
          <w:tcPr>
            <w:tcW w:w="2173" w:type="dxa"/>
          </w:tcPr>
          <w:p w14:paraId="78EC2682" w14:textId="77777777" w:rsidR="00A91B4C" w:rsidRPr="00E73ED6" w:rsidRDefault="00A91B4C" w:rsidP="00A91B4C">
            <w:proofErr w:type="spellStart"/>
            <w:r w:rsidRPr="00E73ED6">
              <w:rPr>
                <w:i/>
                <w:iCs/>
                <w:lang w:val="en-GB"/>
              </w:rPr>
              <w:t>pdsch-symbolAllocation</w:t>
            </w:r>
            <w:proofErr w:type="spellEnd"/>
          </w:p>
        </w:tc>
        <w:tc>
          <w:tcPr>
            <w:tcW w:w="1350" w:type="dxa"/>
          </w:tcPr>
          <w:p w14:paraId="168E3713" w14:textId="2C25666A" w:rsidR="00A91B4C" w:rsidRPr="00E73ED6" w:rsidRDefault="00A91B4C" w:rsidP="00A91B4C">
            <w:pPr>
              <w:jc w:val="left"/>
            </w:pPr>
            <w:r>
              <w:t xml:space="preserve">Y (fixed to </w:t>
            </w:r>
            <w:r w:rsidR="00277EFA">
              <w:t>4</w:t>
            </w:r>
            <w:r>
              <w:t xml:space="preserve"> bits)</w:t>
            </w:r>
          </w:p>
        </w:tc>
        <w:tc>
          <w:tcPr>
            <w:tcW w:w="3153" w:type="dxa"/>
          </w:tcPr>
          <w:p w14:paraId="68E39277" w14:textId="09C00FDD" w:rsidR="00A91B4C" w:rsidRPr="00790865" w:rsidRDefault="00A91B4C" w:rsidP="00A91B4C">
            <w:pPr>
              <w:jc w:val="left"/>
            </w:pPr>
            <w:r w:rsidRPr="00E73ED6">
              <w:t>Index to a configurable table</w:t>
            </w:r>
            <w:r>
              <w:t xml:space="preserve">. Limited k0, SLIV, PDSCH type combinations may be supported. </w:t>
            </w:r>
            <w:r w:rsidR="00277EFA">
              <w:t xml:space="preserve">Transformation rule works in </w:t>
            </w:r>
            <w:r w:rsidR="00277EFA">
              <w:lastRenderedPageBreak/>
              <w:t>general but need some clarifications</w:t>
            </w:r>
            <w:r>
              <w:t xml:space="preserve"> (discussed more in Section </w:t>
            </w:r>
            <w:r>
              <w:fldChar w:fldCharType="begin"/>
            </w:r>
            <w:r>
              <w:instrText xml:space="preserve"> REF _Ref506568464 \r \h  \* MERGEFORMAT </w:instrText>
            </w:r>
            <w:r>
              <w:fldChar w:fldCharType="separate"/>
            </w:r>
            <w:r w:rsidR="00ED57BA">
              <w:t>2.1.4</w:t>
            </w:r>
            <w:r>
              <w:fldChar w:fldCharType="end"/>
            </w:r>
            <w:r>
              <w:t>).</w:t>
            </w:r>
          </w:p>
        </w:tc>
      </w:tr>
      <w:tr w:rsidR="00A91B4C" w14:paraId="50920780" w14:textId="77777777" w:rsidTr="00A91B4C">
        <w:tc>
          <w:tcPr>
            <w:tcW w:w="1938" w:type="dxa"/>
          </w:tcPr>
          <w:p w14:paraId="5280ACDA" w14:textId="77777777" w:rsidR="00A91B4C" w:rsidRPr="00E73ED6" w:rsidRDefault="00A91B4C" w:rsidP="00A91B4C">
            <w:pPr>
              <w:jc w:val="left"/>
            </w:pPr>
            <w:r w:rsidRPr="00E73ED6">
              <w:rPr>
                <w:lang w:val="en-GB"/>
              </w:rPr>
              <w:lastRenderedPageBreak/>
              <w:t>VRB-to-PRB mapping</w:t>
            </w:r>
          </w:p>
        </w:tc>
        <w:tc>
          <w:tcPr>
            <w:tcW w:w="1014" w:type="dxa"/>
          </w:tcPr>
          <w:p w14:paraId="2D740695" w14:textId="77777777" w:rsidR="00A91B4C" w:rsidRDefault="00A91B4C" w:rsidP="00A91B4C">
            <w:pPr>
              <w:jc w:val="left"/>
              <w:rPr>
                <w:lang w:val="en-GB"/>
              </w:rPr>
            </w:pPr>
            <w:r>
              <w:rPr>
                <w:lang w:val="en-GB"/>
              </w:rPr>
              <w:t>0,1</w:t>
            </w:r>
          </w:p>
        </w:tc>
        <w:tc>
          <w:tcPr>
            <w:tcW w:w="2173" w:type="dxa"/>
          </w:tcPr>
          <w:p w14:paraId="572D3E5F" w14:textId="77777777" w:rsidR="00A91B4C" w:rsidRPr="00F4460F" w:rsidRDefault="00A91B4C" w:rsidP="00A91B4C">
            <w:r w:rsidRPr="00F4460F">
              <w:rPr>
                <w:i/>
                <w:iCs/>
              </w:rPr>
              <w:t>Resource-allocation-config</w:t>
            </w:r>
          </w:p>
        </w:tc>
        <w:tc>
          <w:tcPr>
            <w:tcW w:w="1350" w:type="dxa"/>
          </w:tcPr>
          <w:p w14:paraId="7DBE9DD9" w14:textId="77777777" w:rsidR="00A91B4C" w:rsidRPr="00F4460F" w:rsidRDefault="00A91B4C" w:rsidP="00A91B4C">
            <w:pPr>
              <w:jc w:val="left"/>
            </w:pPr>
            <w:r>
              <w:t>Y (fixed to 1 bit)</w:t>
            </w:r>
          </w:p>
        </w:tc>
        <w:tc>
          <w:tcPr>
            <w:tcW w:w="3153" w:type="dxa"/>
          </w:tcPr>
          <w:p w14:paraId="14BA77C9" w14:textId="77777777" w:rsidR="00A91B4C" w:rsidRPr="00F4460F" w:rsidRDefault="00A91B4C" w:rsidP="00A91B4C">
            <w:pPr>
              <w:jc w:val="left"/>
            </w:pPr>
            <w:r w:rsidRPr="00F4460F">
              <w:t>May force no VRB-to-PRB mapping, which is okay</w:t>
            </w:r>
          </w:p>
        </w:tc>
      </w:tr>
      <w:tr w:rsidR="00A91B4C" w14:paraId="78FEF5A9" w14:textId="77777777" w:rsidTr="00A91B4C">
        <w:tc>
          <w:tcPr>
            <w:tcW w:w="1938" w:type="dxa"/>
          </w:tcPr>
          <w:p w14:paraId="0D369D28" w14:textId="77777777" w:rsidR="00A91B4C" w:rsidRPr="00E73ED6" w:rsidRDefault="00A91B4C" w:rsidP="00A91B4C">
            <w:pPr>
              <w:jc w:val="left"/>
            </w:pPr>
            <w:r w:rsidRPr="00E73ED6">
              <w:rPr>
                <w:lang w:val="en-GB"/>
              </w:rPr>
              <w:t>PRB bundling size indicator</w:t>
            </w:r>
          </w:p>
        </w:tc>
        <w:tc>
          <w:tcPr>
            <w:tcW w:w="1014" w:type="dxa"/>
          </w:tcPr>
          <w:p w14:paraId="0337D157" w14:textId="77777777" w:rsidR="00A91B4C" w:rsidRDefault="00A91B4C" w:rsidP="00A91B4C">
            <w:pPr>
              <w:jc w:val="left"/>
              <w:rPr>
                <w:lang w:val="en-GB"/>
              </w:rPr>
            </w:pPr>
            <w:r>
              <w:rPr>
                <w:lang w:val="en-GB"/>
              </w:rPr>
              <w:t>0,1</w:t>
            </w:r>
          </w:p>
        </w:tc>
        <w:tc>
          <w:tcPr>
            <w:tcW w:w="2173" w:type="dxa"/>
          </w:tcPr>
          <w:p w14:paraId="0F66A6DD" w14:textId="77777777" w:rsidR="00A91B4C" w:rsidRPr="00F4460F" w:rsidRDefault="00A91B4C" w:rsidP="00A91B4C">
            <w:proofErr w:type="spellStart"/>
            <w:r w:rsidRPr="00F4460F">
              <w:rPr>
                <w:i/>
                <w:iCs/>
                <w:lang w:val="en-GB"/>
              </w:rPr>
              <w:t>PRB_bundling</w:t>
            </w:r>
            <w:proofErr w:type="spellEnd"/>
          </w:p>
        </w:tc>
        <w:tc>
          <w:tcPr>
            <w:tcW w:w="1350" w:type="dxa"/>
          </w:tcPr>
          <w:p w14:paraId="701C1EDD" w14:textId="77777777" w:rsidR="00A91B4C" w:rsidRPr="00F4460F" w:rsidRDefault="00A91B4C" w:rsidP="00A91B4C">
            <w:pPr>
              <w:jc w:val="left"/>
            </w:pPr>
            <w:r>
              <w:t>N</w:t>
            </w:r>
          </w:p>
        </w:tc>
        <w:tc>
          <w:tcPr>
            <w:tcW w:w="3153" w:type="dxa"/>
          </w:tcPr>
          <w:p w14:paraId="01D8E612" w14:textId="77777777" w:rsidR="00A91B4C" w:rsidRPr="00F4460F" w:rsidRDefault="00A91B4C" w:rsidP="00A91B4C">
            <w:pPr>
              <w:jc w:val="left"/>
            </w:pPr>
            <w:r w:rsidRPr="00F4460F">
              <w:t>May force choosing some particular PRG value</w:t>
            </w:r>
          </w:p>
        </w:tc>
      </w:tr>
      <w:tr w:rsidR="00A91B4C" w14:paraId="265E9D8F" w14:textId="77777777" w:rsidTr="00A91B4C">
        <w:tc>
          <w:tcPr>
            <w:tcW w:w="1938" w:type="dxa"/>
          </w:tcPr>
          <w:p w14:paraId="68234C48" w14:textId="77777777" w:rsidR="00A91B4C" w:rsidRDefault="00A91B4C" w:rsidP="00A91B4C">
            <w:pPr>
              <w:jc w:val="left"/>
              <w:rPr>
                <w:lang w:val="en-GB"/>
              </w:rPr>
            </w:pPr>
            <w:r w:rsidRPr="00B478FC">
              <w:rPr>
                <w:lang w:val="en-GB"/>
              </w:rPr>
              <w:t>Rate matching indicator</w:t>
            </w:r>
          </w:p>
        </w:tc>
        <w:tc>
          <w:tcPr>
            <w:tcW w:w="1014" w:type="dxa"/>
          </w:tcPr>
          <w:p w14:paraId="2D3248B0" w14:textId="77777777" w:rsidR="00A91B4C" w:rsidRDefault="00A91B4C" w:rsidP="00A91B4C">
            <w:pPr>
              <w:jc w:val="left"/>
              <w:rPr>
                <w:lang w:val="en-GB"/>
              </w:rPr>
            </w:pPr>
            <w:r>
              <w:rPr>
                <w:lang w:val="en-GB"/>
              </w:rPr>
              <w:t>0,1,2</w:t>
            </w:r>
          </w:p>
        </w:tc>
        <w:tc>
          <w:tcPr>
            <w:tcW w:w="2173" w:type="dxa"/>
          </w:tcPr>
          <w:p w14:paraId="7D1B5C4E" w14:textId="77777777" w:rsidR="00A91B4C" w:rsidRPr="00F4460F" w:rsidRDefault="00A91B4C" w:rsidP="00A91B4C">
            <w:pPr>
              <w:jc w:val="left"/>
            </w:pPr>
            <w:r w:rsidRPr="00F4460F">
              <w:rPr>
                <w:i/>
                <w:iCs/>
                <w:lang w:val="en-GB"/>
              </w:rPr>
              <w:t>rate-match-PDSCH-resource-set (per BWP or per cell depending on type)</w:t>
            </w:r>
          </w:p>
        </w:tc>
        <w:tc>
          <w:tcPr>
            <w:tcW w:w="1350" w:type="dxa"/>
          </w:tcPr>
          <w:p w14:paraId="1DB10A68" w14:textId="77777777" w:rsidR="00A91B4C" w:rsidRPr="00F4460F" w:rsidRDefault="00A91B4C" w:rsidP="00A91B4C">
            <w:pPr>
              <w:jc w:val="left"/>
            </w:pPr>
            <w:r>
              <w:t>N</w:t>
            </w:r>
          </w:p>
        </w:tc>
        <w:tc>
          <w:tcPr>
            <w:tcW w:w="3153" w:type="dxa"/>
          </w:tcPr>
          <w:p w14:paraId="2BE90B2E" w14:textId="77777777" w:rsidR="00A91B4C" w:rsidRPr="00F4460F" w:rsidRDefault="00A91B4C" w:rsidP="00A91B4C">
            <w:pPr>
              <w:jc w:val="left"/>
            </w:pPr>
            <w:r w:rsidRPr="00F4460F">
              <w:t>This may result in wrong rate matching, potentially decoding failure</w:t>
            </w:r>
            <w:r>
              <w:t xml:space="preserve"> and corruption of HARQ soft buffer.</w:t>
            </w:r>
          </w:p>
        </w:tc>
      </w:tr>
      <w:tr w:rsidR="00A91B4C" w14:paraId="6FBA990F" w14:textId="77777777" w:rsidTr="00A91B4C">
        <w:tc>
          <w:tcPr>
            <w:tcW w:w="1938" w:type="dxa"/>
          </w:tcPr>
          <w:p w14:paraId="16CF331F" w14:textId="77777777" w:rsidR="00A91B4C" w:rsidRDefault="00A91B4C" w:rsidP="00A91B4C">
            <w:pPr>
              <w:jc w:val="left"/>
              <w:rPr>
                <w:lang w:val="en-GB"/>
              </w:rPr>
            </w:pPr>
            <w:r>
              <w:rPr>
                <w:lang w:val="en-GB"/>
              </w:rPr>
              <w:t>ZP CSI-RS trigger</w:t>
            </w:r>
          </w:p>
        </w:tc>
        <w:tc>
          <w:tcPr>
            <w:tcW w:w="1014" w:type="dxa"/>
          </w:tcPr>
          <w:p w14:paraId="25E8DA45" w14:textId="77777777" w:rsidR="00A91B4C" w:rsidRDefault="00A91B4C" w:rsidP="00A91B4C">
            <w:pPr>
              <w:jc w:val="left"/>
              <w:rPr>
                <w:lang w:val="en-GB"/>
              </w:rPr>
            </w:pPr>
            <w:r>
              <w:rPr>
                <w:lang w:val="en-GB"/>
              </w:rPr>
              <w:t>0,1,2</w:t>
            </w:r>
          </w:p>
        </w:tc>
        <w:tc>
          <w:tcPr>
            <w:tcW w:w="2173" w:type="dxa"/>
          </w:tcPr>
          <w:p w14:paraId="710A50C5" w14:textId="77777777" w:rsidR="00A91B4C" w:rsidRPr="00F4460F" w:rsidRDefault="00A91B4C" w:rsidP="00A91B4C">
            <w:r w:rsidRPr="00F4460F">
              <w:rPr>
                <w:i/>
                <w:iCs/>
                <w:lang w:val="en-GB"/>
              </w:rPr>
              <w:t>ZP-CSI-RS-</w:t>
            </w:r>
            <w:proofErr w:type="spellStart"/>
            <w:r w:rsidRPr="00F4460F">
              <w:rPr>
                <w:i/>
                <w:iCs/>
                <w:lang w:val="en-GB"/>
              </w:rPr>
              <w:t>ResourceConfigList</w:t>
            </w:r>
            <w:proofErr w:type="spellEnd"/>
          </w:p>
        </w:tc>
        <w:tc>
          <w:tcPr>
            <w:tcW w:w="1350" w:type="dxa"/>
          </w:tcPr>
          <w:p w14:paraId="33C98F40" w14:textId="77777777" w:rsidR="00A91B4C" w:rsidRPr="00F4460F" w:rsidRDefault="00A91B4C" w:rsidP="00A91B4C">
            <w:pPr>
              <w:jc w:val="left"/>
            </w:pPr>
            <w:r>
              <w:t>N</w:t>
            </w:r>
          </w:p>
        </w:tc>
        <w:tc>
          <w:tcPr>
            <w:tcW w:w="3153" w:type="dxa"/>
          </w:tcPr>
          <w:p w14:paraId="5689637D" w14:textId="77777777" w:rsidR="00A91B4C" w:rsidRPr="00F4460F" w:rsidRDefault="00A91B4C" w:rsidP="00A91B4C">
            <w:pPr>
              <w:jc w:val="left"/>
            </w:pPr>
            <w:r w:rsidRPr="00F4460F">
              <w:t xml:space="preserve">Index to a configurable table. NW should put the most versatile configurations in the top entries, but </w:t>
            </w:r>
            <w:r>
              <w:t xml:space="preserve">this </w:t>
            </w:r>
            <w:r w:rsidRPr="00F4460F">
              <w:t xml:space="preserve">may not </w:t>
            </w:r>
            <w:r>
              <w:t>be sufficient</w:t>
            </w:r>
            <w:r w:rsidRPr="00F4460F">
              <w:t>.</w:t>
            </w:r>
          </w:p>
        </w:tc>
      </w:tr>
      <w:tr w:rsidR="00A91B4C" w14:paraId="41BBEC47" w14:textId="77777777" w:rsidTr="00A91B4C">
        <w:tc>
          <w:tcPr>
            <w:tcW w:w="1938" w:type="dxa"/>
          </w:tcPr>
          <w:p w14:paraId="648ECECE" w14:textId="77777777" w:rsidR="00A91B4C" w:rsidRDefault="00A91B4C" w:rsidP="00A91B4C">
            <w:pPr>
              <w:jc w:val="left"/>
              <w:rPr>
                <w:lang w:val="en-GB"/>
              </w:rPr>
            </w:pPr>
            <w:r>
              <w:rPr>
                <w:lang w:val="en-GB"/>
              </w:rPr>
              <w:t>MCS/NDI/RV</w:t>
            </w:r>
          </w:p>
        </w:tc>
        <w:tc>
          <w:tcPr>
            <w:tcW w:w="1014" w:type="dxa"/>
          </w:tcPr>
          <w:p w14:paraId="55A0A680" w14:textId="77777777" w:rsidR="00A91B4C" w:rsidRPr="008C1E59" w:rsidRDefault="00A91B4C" w:rsidP="00A91B4C">
            <w:r w:rsidRPr="008C1E59">
              <w:t>(5+1+2) x1 or x2</w:t>
            </w:r>
          </w:p>
        </w:tc>
        <w:tc>
          <w:tcPr>
            <w:tcW w:w="2173" w:type="dxa"/>
          </w:tcPr>
          <w:p w14:paraId="0F206B66" w14:textId="77777777" w:rsidR="00A91B4C" w:rsidRPr="008C1E59" w:rsidRDefault="00A91B4C" w:rsidP="00A91B4C">
            <w:r w:rsidRPr="008C1E59">
              <w:rPr>
                <w:i/>
                <w:iCs/>
                <w:lang w:val="en-GB"/>
              </w:rPr>
              <w:t>Number-MCS-HARQ-DL-DCI</w:t>
            </w:r>
          </w:p>
        </w:tc>
        <w:tc>
          <w:tcPr>
            <w:tcW w:w="1350" w:type="dxa"/>
          </w:tcPr>
          <w:p w14:paraId="69C4D4EF" w14:textId="77777777" w:rsidR="00A91B4C" w:rsidRPr="008C1E59" w:rsidRDefault="00A91B4C" w:rsidP="00A91B4C">
            <w:pPr>
              <w:jc w:val="left"/>
            </w:pPr>
            <w:r>
              <w:t>Y (but only single codeword)</w:t>
            </w:r>
          </w:p>
        </w:tc>
        <w:tc>
          <w:tcPr>
            <w:tcW w:w="3153" w:type="dxa"/>
          </w:tcPr>
          <w:p w14:paraId="3F29CD76" w14:textId="77777777" w:rsidR="00A91B4C" w:rsidRPr="008C1E59" w:rsidRDefault="00A91B4C" w:rsidP="00A91B4C">
            <w:pPr>
              <w:jc w:val="left"/>
            </w:pPr>
            <w:r w:rsidRPr="008C1E59">
              <w:t>If current BWP has &lt;=4 layers, and new BWP has &gt;4 layers, this means 2</w:t>
            </w:r>
            <w:r w:rsidRPr="008C1E59">
              <w:rPr>
                <w:vertAlign w:val="superscript"/>
              </w:rPr>
              <w:t>nd</w:t>
            </w:r>
            <w:r w:rsidRPr="008C1E59">
              <w:t xml:space="preserve"> codeword cannot be scheduled. Need special handling</w:t>
            </w:r>
            <w:r>
              <w:t xml:space="preserve"> rule.</w:t>
            </w:r>
          </w:p>
        </w:tc>
      </w:tr>
      <w:tr w:rsidR="00A91B4C" w14:paraId="766C96BE" w14:textId="77777777" w:rsidTr="00A91B4C">
        <w:tc>
          <w:tcPr>
            <w:tcW w:w="1938" w:type="dxa"/>
          </w:tcPr>
          <w:p w14:paraId="61643369" w14:textId="77777777" w:rsidR="00A91B4C" w:rsidRDefault="00A91B4C" w:rsidP="00A91B4C">
            <w:pPr>
              <w:jc w:val="left"/>
              <w:rPr>
                <w:lang w:val="en-GB"/>
              </w:rPr>
            </w:pPr>
            <w:r w:rsidRPr="002D6A23">
              <w:rPr>
                <w:lang w:val="en-GB"/>
              </w:rPr>
              <w:t>Antenna ports</w:t>
            </w:r>
          </w:p>
        </w:tc>
        <w:tc>
          <w:tcPr>
            <w:tcW w:w="1014" w:type="dxa"/>
          </w:tcPr>
          <w:p w14:paraId="5C153842" w14:textId="77777777" w:rsidR="00A91B4C" w:rsidRDefault="00A91B4C" w:rsidP="00A91B4C">
            <w:pPr>
              <w:jc w:val="left"/>
              <w:rPr>
                <w:lang w:val="en-GB"/>
              </w:rPr>
            </w:pPr>
            <w:r>
              <w:rPr>
                <w:lang w:val="en-GB"/>
              </w:rPr>
              <w:t>4,5,6</w:t>
            </w:r>
          </w:p>
        </w:tc>
        <w:tc>
          <w:tcPr>
            <w:tcW w:w="2173" w:type="dxa"/>
          </w:tcPr>
          <w:p w14:paraId="351C1225" w14:textId="77777777" w:rsidR="00A91B4C" w:rsidRPr="008C1E59" w:rsidRDefault="00A91B4C" w:rsidP="00A91B4C">
            <w:pPr>
              <w:jc w:val="left"/>
            </w:pPr>
            <w:r w:rsidRPr="008C1E59">
              <w:rPr>
                <w:i/>
                <w:iCs/>
                <w:lang w:val="en-GB"/>
              </w:rPr>
              <w:t>DL-DMRS-config-type, DL-DMRS-max-</w:t>
            </w:r>
            <w:proofErr w:type="spellStart"/>
            <w:r w:rsidRPr="008C1E59">
              <w:rPr>
                <w:i/>
                <w:iCs/>
                <w:lang w:val="en-GB"/>
              </w:rPr>
              <w:t>len</w:t>
            </w:r>
            <w:proofErr w:type="spellEnd"/>
          </w:p>
        </w:tc>
        <w:tc>
          <w:tcPr>
            <w:tcW w:w="1350" w:type="dxa"/>
          </w:tcPr>
          <w:p w14:paraId="10F0EAF0" w14:textId="77777777" w:rsidR="00A91B4C" w:rsidRPr="008C1E59" w:rsidRDefault="00A91B4C" w:rsidP="00A91B4C">
            <w:pPr>
              <w:jc w:val="left"/>
            </w:pPr>
            <w:r>
              <w:t>N</w:t>
            </w:r>
          </w:p>
        </w:tc>
        <w:tc>
          <w:tcPr>
            <w:tcW w:w="3153" w:type="dxa"/>
          </w:tcPr>
          <w:p w14:paraId="0571B655" w14:textId="77777777" w:rsidR="00A91B4C" w:rsidRPr="008C1E59" w:rsidRDefault="00A91B4C" w:rsidP="00A91B4C">
            <w:pPr>
              <w:jc w:val="left"/>
            </w:pPr>
            <w:r w:rsidRPr="008C1E59">
              <w:t xml:space="preserve">Index to fixed tables defined in the spec. May result in limitation in selection of CDM group, DMRS ports, </w:t>
            </w:r>
            <w:r>
              <w:t>number of</w:t>
            </w:r>
            <w:r w:rsidRPr="008C1E59">
              <w:t xml:space="preserve"> front-loaded sym</w:t>
            </w:r>
            <w:r>
              <w:t>bols</w:t>
            </w:r>
          </w:p>
        </w:tc>
      </w:tr>
      <w:tr w:rsidR="00A91B4C" w14:paraId="4FB67F0A" w14:textId="77777777" w:rsidTr="00A91B4C">
        <w:tc>
          <w:tcPr>
            <w:tcW w:w="1938" w:type="dxa"/>
          </w:tcPr>
          <w:p w14:paraId="3EDFFC3F" w14:textId="18BCD7D9" w:rsidR="00A91B4C" w:rsidRDefault="00A91B4C" w:rsidP="00A91B4C">
            <w:pPr>
              <w:jc w:val="left"/>
              <w:rPr>
                <w:lang w:val="en-GB"/>
              </w:rPr>
            </w:pPr>
            <w:r w:rsidRPr="00E73ED6">
              <w:rPr>
                <w:lang w:val="en-GB"/>
              </w:rPr>
              <w:t>Transmission configuration indication</w:t>
            </w:r>
            <w:r w:rsidR="00EA2B94">
              <w:rPr>
                <w:lang w:val="en-GB"/>
              </w:rPr>
              <w:t xml:space="preserve"> (TCI)</w:t>
            </w:r>
          </w:p>
        </w:tc>
        <w:tc>
          <w:tcPr>
            <w:tcW w:w="1014" w:type="dxa"/>
          </w:tcPr>
          <w:p w14:paraId="31DCD53A" w14:textId="77777777" w:rsidR="00A91B4C" w:rsidRPr="008C1E59" w:rsidRDefault="00A91B4C" w:rsidP="00A91B4C">
            <w:r w:rsidRPr="008C1E59">
              <w:t>0,3</w:t>
            </w:r>
          </w:p>
        </w:tc>
        <w:tc>
          <w:tcPr>
            <w:tcW w:w="2173" w:type="dxa"/>
          </w:tcPr>
          <w:p w14:paraId="7FECF1D3" w14:textId="77777777" w:rsidR="00A91B4C" w:rsidRPr="008C1E59" w:rsidRDefault="00A91B4C" w:rsidP="00A91B4C">
            <w:proofErr w:type="spellStart"/>
            <w:r w:rsidRPr="008C1E59">
              <w:rPr>
                <w:i/>
                <w:iCs/>
              </w:rPr>
              <w:t>tci-PresentInDCI</w:t>
            </w:r>
            <w:proofErr w:type="spellEnd"/>
          </w:p>
        </w:tc>
        <w:tc>
          <w:tcPr>
            <w:tcW w:w="1350" w:type="dxa"/>
          </w:tcPr>
          <w:p w14:paraId="4006311A" w14:textId="77777777" w:rsidR="00A91B4C" w:rsidRPr="008C1E59" w:rsidRDefault="00A91B4C" w:rsidP="00A91B4C">
            <w:pPr>
              <w:jc w:val="left"/>
            </w:pPr>
            <w:r>
              <w:t>N</w:t>
            </w:r>
          </w:p>
        </w:tc>
        <w:tc>
          <w:tcPr>
            <w:tcW w:w="3153" w:type="dxa"/>
          </w:tcPr>
          <w:p w14:paraId="48967941" w14:textId="77777777" w:rsidR="00A91B4C" w:rsidRPr="008C1E59" w:rsidRDefault="00A91B4C" w:rsidP="00A91B4C">
            <w:pPr>
              <w:jc w:val="left"/>
            </w:pPr>
            <w:r w:rsidRPr="008C1E59">
              <w:t>For 0 -&gt; 3 bits mapping, special handling to assume the disabled case.</w:t>
            </w:r>
          </w:p>
        </w:tc>
      </w:tr>
    </w:tbl>
    <w:p w14:paraId="273486F7" w14:textId="77777777" w:rsidR="00A91B4C" w:rsidRDefault="00A91B4C" w:rsidP="00A91B4C">
      <w:pPr>
        <w:rPr>
          <w:lang w:val="en-GB"/>
        </w:rPr>
      </w:pPr>
    </w:p>
    <w:p w14:paraId="252A6D86" w14:textId="77777777" w:rsidR="00A91B4C" w:rsidRDefault="00A91B4C" w:rsidP="00BB3F27">
      <w:pPr>
        <w:pStyle w:val="Heading3"/>
      </w:pPr>
      <w:r>
        <w:t>Summary</w:t>
      </w:r>
      <w:r w:rsidRPr="000C3FE9">
        <w:t xml:space="preserve"> of UL scheduling DCI (Format 0-1) fields </w:t>
      </w:r>
      <w:r>
        <w:t>with BWP-dependent size</w:t>
      </w:r>
    </w:p>
    <w:tbl>
      <w:tblPr>
        <w:tblStyle w:val="TableGrid"/>
        <w:tblW w:w="0" w:type="auto"/>
        <w:tblLayout w:type="fixed"/>
        <w:tblLook w:val="04A0" w:firstRow="1" w:lastRow="0" w:firstColumn="1" w:lastColumn="0" w:noHBand="0" w:noVBand="1"/>
      </w:tblPr>
      <w:tblGrid>
        <w:gridCol w:w="1756"/>
        <w:gridCol w:w="1216"/>
        <w:gridCol w:w="2153"/>
        <w:gridCol w:w="1440"/>
        <w:gridCol w:w="3063"/>
      </w:tblGrid>
      <w:tr w:rsidR="00A91B4C" w14:paraId="6DBA4B90" w14:textId="77777777" w:rsidTr="00A91B4C">
        <w:tc>
          <w:tcPr>
            <w:tcW w:w="1756" w:type="dxa"/>
          </w:tcPr>
          <w:p w14:paraId="67B88592" w14:textId="77777777" w:rsidR="00A91B4C" w:rsidRDefault="00A91B4C" w:rsidP="00A91B4C">
            <w:pPr>
              <w:rPr>
                <w:lang w:val="en-GB"/>
              </w:rPr>
            </w:pPr>
          </w:p>
        </w:tc>
        <w:tc>
          <w:tcPr>
            <w:tcW w:w="1216" w:type="dxa"/>
          </w:tcPr>
          <w:p w14:paraId="2CE90E5A" w14:textId="77777777" w:rsidR="00A91B4C" w:rsidRPr="008C1E59" w:rsidRDefault="00A91B4C" w:rsidP="00A91B4C">
            <w:pPr>
              <w:jc w:val="left"/>
              <w:rPr>
                <w:b/>
                <w:lang w:val="en-GB"/>
              </w:rPr>
            </w:pPr>
            <w:r w:rsidRPr="008C1E59">
              <w:rPr>
                <w:b/>
                <w:lang w:val="en-GB"/>
              </w:rPr>
              <w:t>Size (bits)</w:t>
            </w:r>
          </w:p>
        </w:tc>
        <w:tc>
          <w:tcPr>
            <w:tcW w:w="2153" w:type="dxa"/>
          </w:tcPr>
          <w:p w14:paraId="03D86425" w14:textId="77777777" w:rsidR="00A91B4C" w:rsidRPr="008C1E59" w:rsidRDefault="00A91B4C" w:rsidP="00A91B4C">
            <w:pPr>
              <w:jc w:val="left"/>
              <w:rPr>
                <w:b/>
                <w:lang w:val="en-GB"/>
              </w:rPr>
            </w:pPr>
            <w:r w:rsidRPr="008C1E59">
              <w:rPr>
                <w:b/>
                <w:lang w:val="en-GB"/>
              </w:rPr>
              <w:t>RRC param dependence</w:t>
            </w:r>
          </w:p>
        </w:tc>
        <w:tc>
          <w:tcPr>
            <w:tcW w:w="1440" w:type="dxa"/>
          </w:tcPr>
          <w:p w14:paraId="1F86A3EE" w14:textId="77777777" w:rsidR="00A91B4C" w:rsidRPr="008C1E59" w:rsidRDefault="00A91B4C" w:rsidP="00A91B4C">
            <w:pPr>
              <w:jc w:val="left"/>
              <w:rPr>
                <w:b/>
                <w:lang w:val="en-GB"/>
              </w:rPr>
            </w:pPr>
            <w:r>
              <w:rPr>
                <w:b/>
                <w:lang w:val="en-GB"/>
              </w:rPr>
              <w:t xml:space="preserve">Present in </w:t>
            </w:r>
            <w:proofErr w:type="spellStart"/>
            <w:r>
              <w:rPr>
                <w:b/>
                <w:lang w:val="en-GB"/>
              </w:rPr>
              <w:t>fallback</w:t>
            </w:r>
            <w:proofErr w:type="spellEnd"/>
            <w:r>
              <w:rPr>
                <w:b/>
                <w:lang w:val="en-GB"/>
              </w:rPr>
              <w:t xml:space="preserve"> (Format 1-0)</w:t>
            </w:r>
          </w:p>
        </w:tc>
        <w:tc>
          <w:tcPr>
            <w:tcW w:w="3063" w:type="dxa"/>
          </w:tcPr>
          <w:p w14:paraId="0B4B95B1" w14:textId="77777777" w:rsidR="00A91B4C" w:rsidRPr="008C1E59" w:rsidRDefault="00A91B4C" w:rsidP="00A91B4C">
            <w:pPr>
              <w:jc w:val="left"/>
              <w:rPr>
                <w:b/>
                <w:lang w:val="en-GB"/>
              </w:rPr>
            </w:pPr>
            <w:r w:rsidRPr="008C1E59">
              <w:rPr>
                <w:b/>
                <w:lang w:val="en-GB"/>
              </w:rPr>
              <w:t xml:space="preserve">Impact of </w:t>
            </w:r>
            <w:r>
              <w:rPr>
                <w:b/>
                <w:lang w:val="en-GB"/>
              </w:rPr>
              <w:t xml:space="preserve">mismatched size (small to large by </w:t>
            </w:r>
            <w:r w:rsidRPr="008C1E59">
              <w:rPr>
                <w:b/>
                <w:lang w:val="en-GB"/>
              </w:rPr>
              <w:t>zero-padding</w:t>
            </w:r>
            <w:r>
              <w:rPr>
                <w:b/>
                <w:lang w:val="en-GB"/>
              </w:rPr>
              <w:t>)</w:t>
            </w:r>
          </w:p>
        </w:tc>
      </w:tr>
      <w:tr w:rsidR="00A91B4C" w14:paraId="2203656F" w14:textId="77777777" w:rsidTr="00A91B4C">
        <w:tc>
          <w:tcPr>
            <w:tcW w:w="1756" w:type="dxa"/>
          </w:tcPr>
          <w:p w14:paraId="1EF1D038" w14:textId="77777777" w:rsidR="00A91B4C" w:rsidRPr="0070777B" w:rsidRDefault="00A91B4C" w:rsidP="00A91B4C">
            <w:pPr>
              <w:jc w:val="left"/>
            </w:pPr>
            <w:r w:rsidRPr="0070777B">
              <w:t xml:space="preserve">Freq-domain resource assignment </w:t>
            </w:r>
          </w:p>
        </w:tc>
        <w:tc>
          <w:tcPr>
            <w:tcW w:w="3369" w:type="dxa"/>
            <w:gridSpan w:val="2"/>
          </w:tcPr>
          <w:p w14:paraId="3DCDC664" w14:textId="6B2404FA" w:rsidR="00A91B4C" w:rsidRDefault="00A91B4C" w:rsidP="00A91B4C">
            <w:pPr>
              <w:jc w:val="left"/>
              <w:rPr>
                <w:lang w:val="en-GB"/>
              </w:rPr>
            </w:pPr>
            <w:r>
              <w:rPr>
                <w:lang w:val="en-GB"/>
              </w:rPr>
              <w:t xml:space="preserve">(See Section </w:t>
            </w:r>
            <w:r>
              <w:rPr>
                <w:lang w:val="en-GB"/>
              </w:rPr>
              <w:fldChar w:fldCharType="begin"/>
            </w:r>
            <w:r>
              <w:rPr>
                <w:lang w:val="en-GB"/>
              </w:rPr>
              <w:instrText xml:space="preserve"> REF _Ref506507851 \r \h  \* MERGEFORMAT </w:instrText>
            </w:r>
            <w:r>
              <w:rPr>
                <w:lang w:val="en-GB"/>
              </w:rPr>
            </w:r>
            <w:r>
              <w:rPr>
                <w:lang w:val="en-GB"/>
              </w:rPr>
              <w:fldChar w:fldCharType="separate"/>
            </w:r>
            <w:r w:rsidR="00ED57BA">
              <w:rPr>
                <w:lang w:val="en-GB"/>
              </w:rPr>
              <w:t>2.1.3</w:t>
            </w:r>
            <w:r>
              <w:rPr>
                <w:lang w:val="en-GB"/>
              </w:rPr>
              <w:fldChar w:fldCharType="end"/>
            </w:r>
            <w:r>
              <w:rPr>
                <w:lang w:val="en-GB"/>
              </w:rPr>
              <w:t xml:space="preserve"> for detail discussion)</w:t>
            </w:r>
          </w:p>
        </w:tc>
        <w:tc>
          <w:tcPr>
            <w:tcW w:w="1440" w:type="dxa"/>
          </w:tcPr>
          <w:p w14:paraId="1A40C033" w14:textId="77777777" w:rsidR="00A91B4C" w:rsidRPr="00E73ED6" w:rsidRDefault="00A91B4C" w:rsidP="00A91B4C">
            <w:pPr>
              <w:jc w:val="left"/>
            </w:pPr>
            <w:r>
              <w:t>Y</w:t>
            </w:r>
          </w:p>
        </w:tc>
        <w:tc>
          <w:tcPr>
            <w:tcW w:w="3063" w:type="dxa"/>
          </w:tcPr>
          <w:p w14:paraId="411A1E26" w14:textId="77777777" w:rsidR="00A91B4C" w:rsidRPr="00117A90" w:rsidRDefault="00A91B4C" w:rsidP="00A91B4C">
            <w:pPr>
              <w:jc w:val="left"/>
            </w:pPr>
            <w:r w:rsidRPr="00E73ED6">
              <w:t xml:space="preserve">Some </w:t>
            </w:r>
            <w:r>
              <w:t>PRB</w:t>
            </w:r>
            <w:r w:rsidRPr="00E73ED6">
              <w:t xml:space="preserve"> may not be schedulable</w:t>
            </w:r>
          </w:p>
        </w:tc>
      </w:tr>
      <w:tr w:rsidR="00A91B4C" w14:paraId="79A03853" w14:textId="77777777" w:rsidTr="00A91B4C">
        <w:tc>
          <w:tcPr>
            <w:tcW w:w="1756" w:type="dxa"/>
          </w:tcPr>
          <w:p w14:paraId="77570DB1" w14:textId="77777777" w:rsidR="00A91B4C" w:rsidRPr="0070777B" w:rsidRDefault="00A91B4C" w:rsidP="00A91B4C">
            <w:pPr>
              <w:jc w:val="left"/>
              <w:rPr>
                <w:lang w:val="en-GB"/>
              </w:rPr>
            </w:pPr>
            <w:r w:rsidRPr="002B06F8">
              <w:rPr>
                <w:lang w:val="en-GB"/>
              </w:rPr>
              <w:lastRenderedPageBreak/>
              <w:t>Time-domain resource assignment</w:t>
            </w:r>
          </w:p>
        </w:tc>
        <w:tc>
          <w:tcPr>
            <w:tcW w:w="1216" w:type="dxa"/>
          </w:tcPr>
          <w:p w14:paraId="61B52C3F" w14:textId="77777777" w:rsidR="00A91B4C" w:rsidRDefault="00A91B4C" w:rsidP="00A91B4C">
            <w:pPr>
              <w:jc w:val="left"/>
              <w:rPr>
                <w:lang w:val="en-GB"/>
              </w:rPr>
            </w:pPr>
            <w:r>
              <w:rPr>
                <w:lang w:val="en-GB"/>
              </w:rPr>
              <w:t>0,1,2,3,4</w:t>
            </w:r>
          </w:p>
        </w:tc>
        <w:tc>
          <w:tcPr>
            <w:tcW w:w="2153" w:type="dxa"/>
          </w:tcPr>
          <w:p w14:paraId="7E6F4AEB" w14:textId="77777777" w:rsidR="00A91B4C" w:rsidRPr="006D47A9" w:rsidRDefault="00A91B4C" w:rsidP="00A91B4C">
            <w:pPr>
              <w:jc w:val="left"/>
              <w:rPr>
                <w:i/>
                <w:iCs/>
              </w:rPr>
            </w:pPr>
            <w:proofErr w:type="spellStart"/>
            <w:r w:rsidRPr="006D47A9">
              <w:rPr>
                <w:i/>
                <w:iCs/>
                <w:lang w:val="en-GB"/>
              </w:rPr>
              <w:t>pusch-symbolAllocation</w:t>
            </w:r>
            <w:proofErr w:type="spellEnd"/>
          </w:p>
        </w:tc>
        <w:tc>
          <w:tcPr>
            <w:tcW w:w="1440" w:type="dxa"/>
          </w:tcPr>
          <w:p w14:paraId="0E9A1801" w14:textId="5C54AD90" w:rsidR="00A91B4C" w:rsidRPr="00E73ED6" w:rsidRDefault="00A91B4C" w:rsidP="00A91B4C">
            <w:pPr>
              <w:jc w:val="left"/>
            </w:pPr>
            <w:r>
              <w:t xml:space="preserve">Y (fixed to </w:t>
            </w:r>
            <w:r w:rsidR="00277EFA">
              <w:t>4</w:t>
            </w:r>
            <w:r>
              <w:t xml:space="preserve"> bits)</w:t>
            </w:r>
          </w:p>
        </w:tc>
        <w:tc>
          <w:tcPr>
            <w:tcW w:w="3063" w:type="dxa"/>
          </w:tcPr>
          <w:p w14:paraId="489790F1" w14:textId="28994159" w:rsidR="00A91B4C" w:rsidRPr="00790865" w:rsidRDefault="00A91B4C" w:rsidP="00A91B4C">
            <w:pPr>
              <w:jc w:val="left"/>
            </w:pPr>
            <w:r w:rsidRPr="00E73ED6">
              <w:t>Index to a configurable table</w:t>
            </w:r>
            <w:r>
              <w:t xml:space="preserve">. Limited k2, SLIV, PUSCH mapping type combinations may be supported. </w:t>
            </w:r>
            <w:r w:rsidR="00277EFA">
              <w:t>Transformation rule works in general but need some clarifications</w:t>
            </w:r>
            <w:r>
              <w:t xml:space="preserve"> (discussed more in Section </w:t>
            </w:r>
            <w:r>
              <w:fldChar w:fldCharType="begin"/>
            </w:r>
            <w:r>
              <w:instrText xml:space="preserve"> REF _Ref506568464 \r \h  \* MERGEFORMAT </w:instrText>
            </w:r>
            <w:r>
              <w:fldChar w:fldCharType="separate"/>
            </w:r>
            <w:r w:rsidR="00ED57BA">
              <w:t>2.1.4</w:t>
            </w:r>
            <w:r>
              <w:fldChar w:fldCharType="end"/>
            </w:r>
            <w:r>
              <w:t>).</w:t>
            </w:r>
          </w:p>
        </w:tc>
      </w:tr>
      <w:tr w:rsidR="00A91B4C" w14:paraId="70C53955" w14:textId="77777777" w:rsidTr="00A91B4C">
        <w:tc>
          <w:tcPr>
            <w:tcW w:w="1756" w:type="dxa"/>
          </w:tcPr>
          <w:p w14:paraId="129DD2FF" w14:textId="77777777" w:rsidR="00A91B4C" w:rsidRPr="0070777B" w:rsidRDefault="00A91B4C" w:rsidP="00A91B4C">
            <w:pPr>
              <w:jc w:val="left"/>
            </w:pPr>
            <w:r w:rsidRPr="0070777B">
              <w:rPr>
                <w:lang w:val="en-GB"/>
              </w:rPr>
              <w:t>VRB-to-PRB mapping</w:t>
            </w:r>
          </w:p>
        </w:tc>
        <w:tc>
          <w:tcPr>
            <w:tcW w:w="1216" w:type="dxa"/>
          </w:tcPr>
          <w:p w14:paraId="4BB44A71" w14:textId="77777777" w:rsidR="00A91B4C" w:rsidRDefault="00A91B4C" w:rsidP="00A91B4C">
            <w:pPr>
              <w:jc w:val="left"/>
              <w:rPr>
                <w:lang w:val="en-GB"/>
              </w:rPr>
            </w:pPr>
            <w:r>
              <w:rPr>
                <w:lang w:val="en-GB"/>
              </w:rPr>
              <w:t>0,1</w:t>
            </w:r>
          </w:p>
        </w:tc>
        <w:tc>
          <w:tcPr>
            <w:tcW w:w="2153" w:type="dxa"/>
          </w:tcPr>
          <w:p w14:paraId="5E98A7AB" w14:textId="77777777" w:rsidR="00A91B4C" w:rsidRPr="006D47A9" w:rsidRDefault="00A91B4C" w:rsidP="00A91B4C">
            <w:pPr>
              <w:jc w:val="left"/>
              <w:rPr>
                <w:i/>
                <w:iCs/>
              </w:rPr>
            </w:pPr>
            <w:r w:rsidRPr="006D47A9">
              <w:rPr>
                <w:i/>
                <w:iCs/>
              </w:rPr>
              <w:t>Resource-allocation-config, PUSCH-</w:t>
            </w:r>
            <w:proofErr w:type="spellStart"/>
            <w:r w:rsidRPr="006D47A9">
              <w:rPr>
                <w:i/>
                <w:iCs/>
              </w:rPr>
              <w:t>tp</w:t>
            </w:r>
            <w:proofErr w:type="spellEnd"/>
          </w:p>
        </w:tc>
        <w:tc>
          <w:tcPr>
            <w:tcW w:w="1440" w:type="dxa"/>
          </w:tcPr>
          <w:p w14:paraId="21652410" w14:textId="77777777" w:rsidR="00A91B4C" w:rsidRPr="006D47A9" w:rsidRDefault="00A91B4C" w:rsidP="00A91B4C">
            <w:pPr>
              <w:jc w:val="left"/>
            </w:pPr>
            <w:r>
              <w:t>N</w:t>
            </w:r>
          </w:p>
        </w:tc>
        <w:tc>
          <w:tcPr>
            <w:tcW w:w="3063" w:type="dxa"/>
          </w:tcPr>
          <w:p w14:paraId="40254497" w14:textId="77777777" w:rsidR="00A91B4C" w:rsidRPr="00F4460F" w:rsidRDefault="00A91B4C" w:rsidP="00A91B4C">
            <w:pPr>
              <w:jc w:val="left"/>
            </w:pPr>
            <w:r w:rsidRPr="006D47A9">
              <w:t>May force no VRB-to-PRB mapping, which is okay</w:t>
            </w:r>
          </w:p>
        </w:tc>
      </w:tr>
      <w:tr w:rsidR="00A91B4C" w14:paraId="218EA158" w14:textId="77777777" w:rsidTr="00A91B4C">
        <w:tc>
          <w:tcPr>
            <w:tcW w:w="1756" w:type="dxa"/>
          </w:tcPr>
          <w:p w14:paraId="593561F8" w14:textId="77777777" w:rsidR="00A91B4C" w:rsidRPr="0070777B" w:rsidRDefault="00A91B4C" w:rsidP="00A91B4C">
            <w:pPr>
              <w:jc w:val="left"/>
            </w:pPr>
            <w:r w:rsidRPr="0070777B">
              <w:rPr>
                <w:lang w:val="en-GB"/>
              </w:rPr>
              <w:t>Frequency hopping flag</w:t>
            </w:r>
          </w:p>
        </w:tc>
        <w:tc>
          <w:tcPr>
            <w:tcW w:w="1216" w:type="dxa"/>
          </w:tcPr>
          <w:p w14:paraId="6FFC5D1A" w14:textId="77777777" w:rsidR="00A91B4C" w:rsidRDefault="00A91B4C" w:rsidP="00A91B4C">
            <w:pPr>
              <w:jc w:val="left"/>
              <w:rPr>
                <w:lang w:val="en-GB"/>
              </w:rPr>
            </w:pPr>
            <w:r>
              <w:rPr>
                <w:lang w:val="en-GB"/>
              </w:rPr>
              <w:t>0,1</w:t>
            </w:r>
          </w:p>
        </w:tc>
        <w:tc>
          <w:tcPr>
            <w:tcW w:w="2153" w:type="dxa"/>
          </w:tcPr>
          <w:p w14:paraId="3F8CB1DF" w14:textId="77777777" w:rsidR="00A91B4C" w:rsidRPr="006D47A9" w:rsidRDefault="00A91B4C" w:rsidP="00A91B4C">
            <w:pPr>
              <w:jc w:val="left"/>
              <w:rPr>
                <w:i/>
                <w:iCs/>
              </w:rPr>
            </w:pPr>
            <w:r w:rsidRPr="006D47A9">
              <w:rPr>
                <w:i/>
                <w:iCs/>
              </w:rPr>
              <w:t>Resource-allocation-config</w:t>
            </w:r>
          </w:p>
        </w:tc>
        <w:tc>
          <w:tcPr>
            <w:tcW w:w="1440" w:type="dxa"/>
          </w:tcPr>
          <w:p w14:paraId="13908292" w14:textId="77777777" w:rsidR="00A91B4C" w:rsidRPr="006D47A9" w:rsidRDefault="00A91B4C" w:rsidP="00A91B4C">
            <w:pPr>
              <w:jc w:val="left"/>
            </w:pPr>
            <w:r>
              <w:t>N</w:t>
            </w:r>
          </w:p>
        </w:tc>
        <w:tc>
          <w:tcPr>
            <w:tcW w:w="3063" w:type="dxa"/>
          </w:tcPr>
          <w:p w14:paraId="29EDC440" w14:textId="77777777" w:rsidR="00A91B4C" w:rsidRPr="00F4460F" w:rsidRDefault="00A91B4C" w:rsidP="00A91B4C">
            <w:pPr>
              <w:jc w:val="left"/>
            </w:pPr>
            <w:r w:rsidRPr="006D47A9">
              <w:t>May force no frequency hopping, which is okay</w:t>
            </w:r>
          </w:p>
        </w:tc>
      </w:tr>
      <w:tr w:rsidR="00A91B4C" w14:paraId="0D2B6B5B" w14:textId="77777777" w:rsidTr="00A91B4C">
        <w:tc>
          <w:tcPr>
            <w:tcW w:w="1756" w:type="dxa"/>
          </w:tcPr>
          <w:p w14:paraId="77D07B7E" w14:textId="77777777" w:rsidR="00A91B4C" w:rsidRPr="006D47A9" w:rsidRDefault="00A91B4C" w:rsidP="00A91B4C">
            <w:pPr>
              <w:jc w:val="left"/>
            </w:pPr>
            <w:r w:rsidRPr="00B478FC">
              <w:rPr>
                <w:lang w:val="en-GB"/>
              </w:rPr>
              <w:t>SRS resource indicator</w:t>
            </w:r>
          </w:p>
        </w:tc>
        <w:tc>
          <w:tcPr>
            <w:tcW w:w="1216" w:type="dxa"/>
          </w:tcPr>
          <w:p w14:paraId="32C936A8" w14:textId="77777777" w:rsidR="00A91B4C" w:rsidRDefault="001B7884" w:rsidP="00A91B4C">
            <w:pPr>
              <w:jc w:val="left"/>
              <w:rPr>
                <w:lang w:val="en-GB"/>
              </w:rPr>
            </w:pPr>
            <w:proofErr w:type="gramStart"/>
            <w:r>
              <w:rPr>
                <w:lang w:val="en-GB"/>
              </w:rPr>
              <w:t>x</w:t>
            </w:r>
            <w:r w:rsidRPr="006D47A9">
              <w:rPr>
                <w:lang w:val="en-GB"/>
              </w:rPr>
              <w:t xml:space="preserve"> </w:t>
            </w:r>
            <w:r w:rsidR="00A91B4C" w:rsidRPr="006D47A9">
              <w:rPr>
                <w:lang w:val="en-GB"/>
              </w:rPr>
              <w:t>,</w:t>
            </w:r>
            <w:proofErr w:type="gramEnd"/>
            <w:r w:rsidR="00A91B4C" w:rsidRPr="006D47A9">
              <w:rPr>
                <w:lang w:val="en-GB"/>
              </w:rPr>
              <w:t xml:space="preserve"> y</w:t>
            </w:r>
          </w:p>
          <w:p w14:paraId="141E7867" w14:textId="2328B205" w:rsidR="00232631" w:rsidRPr="006D47A9" w:rsidRDefault="00232631" w:rsidP="00A91B4C">
            <w:pPr>
              <w:jc w:val="left"/>
            </w:pPr>
            <w:r>
              <w:t>(at least 1 bit)</w:t>
            </w:r>
          </w:p>
        </w:tc>
        <w:tc>
          <w:tcPr>
            <w:tcW w:w="2153" w:type="dxa"/>
          </w:tcPr>
          <w:p w14:paraId="6FFDC2FC" w14:textId="77777777" w:rsidR="00A91B4C" w:rsidRDefault="00A91B4C" w:rsidP="00A91B4C">
            <w:pPr>
              <w:jc w:val="left"/>
              <w:rPr>
                <w:iCs/>
                <w:lang w:val="en-GB"/>
              </w:rPr>
            </w:pPr>
            <w:r w:rsidRPr="006D47A9">
              <w:rPr>
                <w:iCs/>
                <w:lang w:val="en-GB"/>
              </w:rPr>
              <w:t>General guidance is that SRS should be per BWP</w:t>
            </w:r>
            <w:r>
              <w:rPr>
                <w:iCs/>
                <w:lang w:val="en-GB"/>
              </w:rPr>
              <w:t>.</w:t>
            </w:r>
          </w:p>
          <w:p w14:paraId="752E26E5" w14:textId="77777777" w:rsidR="00A91B4C" w:rsidRDefault="00A91B4C" w:rsidP="00A91B4C">
            <w:pPr>
              <w:jc w:val="left"/>
              <w:rPr>
                <w:lang w:val="en-GB"/>
              </w:rPr>
            </w:pPr>
            <w:r>
              <w:rPr>
                <w:iCs/>
              </w:rPr>
              <w:t xml:space="preserve">x = </w:t>
            </w:r>
            <w:r>
              <w:rPr>
                <w:position w:val="-34"/>
                <w:lang w:val="en-GB"/>
              </w:rPr>
              <w:object w:dxaOrig="2364" w:dyaOrig="732" w14:anchorId="38F0390F">
                <v:shape id="_x0000_i1026" type="#_x0000_t75" style="width:108pt;height:36pt" o:ole="">
                  <v:imagedata r:id="rId29" o:title=""/>
                </v:shape>
                <o:OLEObject Type="Embed" ProgID="Equation.3" ShapeID="_x0000_i1026" DrawAspect="Content" ObjectID="_1587580071" r:id="rId30"/>
              </w:object>
            </w:r>
          </w:p>
          <w:p w14:paraId="06970805" w14:textId="77777777" w:rsidR="00A91B4C" w:rsidRPr="006D47A9" w:rsidRDefault="00A91B4C" w:rsidP="00A91B4C">
            <w:pPr>
              <w:jc w:val="left"/>
              <w:rPr>
                <w:iCs/>
              </w:rPr>
            </w:pPr>
            <w:r>
              <w:rPr>
                <w:iCs/>
              </w:rPr>
              <w:t xml:space="preserve">y = </w:t>
            </w:r>
            <w:r>
              <w:rPr>
                <w:position w:val="-12"/>
                <w:lang w:val="en-GB"/>
              </w:rPr>
              <w:object w:dxaOrig="1152" w:dyaOrig="324" w14:anchorId="72C9B901">
                <v:shape id="_x0000_i1027" type="#_x0000_t75" style="width:55pt;height:17pt" o:ole="">
                  <v:imagedata r:id="rId31" o:title=""/>
                </v:shape>
                <o:OLEObject Type="Embed" ProgID="Equation.3" ShapeID="_x0000_i1027" DrawAspect="Content" ObjectID="_1587580072" r:id="rId32"/>
              </w:object>
            </w:r>
          </w:p>
        </w:tc>
        <w:tc>
          <w:tcPr>
            <w:tcW w:w="1440" w:type="dxa"/>
          </w:tcPr>
          <w:p w14:paraId="6B1B5FC9" w14:textId="77777777" w:rsidR="00A91B4C" w:rsidRPr="006D47A9" w:rsidRDefault="00A91B4C" w:rsidP="00A91B4C">
            <w:pPr>
              <w:jc w:val="left"/>
            </w:pPr>
            <w:r>
              <w:t>N</w:t>
            </w:r>
          </w:p>
        </w:tc>
        <w:tc>
          <w:tcPr>
            <w:tcW w:w="3063" w:type="dxa"/>
          </w:tcPr>
          <w:p w14:paraId="14369629" w14:textId="77777777" w:rsidR="00A91B4C" w:rsidRPr="00F4460F" w:rsidRDefault="00A91B4C" w:rsidP="00A91B4C">
            <w:pPr>
              <w:jc w:val="left"/>
            </w:pPr>
            <w:r w:rsidRPr="006D47A9">
              <w:t>Index to fixed tables defined in the spec. May result in</w:t>
            </w:r>
            <w:r>
              <w:t xml:space="preserve"> severe</w:t>
            </w:r>
            <w:r w:rsidRPr="006D47A9">
              <w:t xml:space="preserve"> limitation on the SRS resources that can be indicated</w:t>
            </w:r>
            <w:r>
              <w:t xml:space="preserve"> for UL transmission.</w:t>
            </w:r>
          </w:p>
        </w:tc>
      </w:tr>
      <w:tr w:rsidR="00A91B4C" w14:paraId="5D48D2EB" w14:textId="77777777" w:rsidTr="00A91B4C">
        <w:tc>
          <w:tcPr>
            <w:tcW w:w="1756" w:type="dxa"/>
          </w:tcPr>
          <w:p w14:paraId="55C227F9" w14:textId="77777777" w:rsidR="00A91B4C" w:rsidRPr="006D47A9" w:rsidRDefault="00A91B4C" w:rsidP="00A91B4C">
            <w:pPr>
              <w:jc w:val="left"/>
            </w:pPr>
            <w:r w:rsidRPr="006D47A9">
              <w:t>Precoding information and number of layers</w:t>
            </w:r>
          </w:p>
        </w:tc>
        <w:tc>
          <w:tcPr>
            <w:tcW w:w="1216" w:type="dxa"/>
          </w:tcPr>
          <w:p w14:paraId="148451DA" w14:textId="77777777" w:rsidR="00A91B4C" w:rsidRPr="006D47A9" w:rsidRDefault="00A91B4C" w:rsidP="00A91B4C">
            <w:pPr>
              <w:jc w:val="left"/>
            </w:pPr>
            <w:r w:rsidRPr="006D47A9">
              <w:t>0</w:t>
            </w:r>
            <w:r>
              <w:t xml:space="preserve"> to 6</w:t>
            </w:r>
          </w:p>
        </w:tc>
        <w:tc>
          <w:tcPr>
            <w:tcW w:w="2153" w:type="dxa"/>
          </w:tcPr>
          <w:p w14:paraId="3344DC3B" w14:textId="77777777" w:rsidR="00A91B4C" w:rsidRPr="006D47A9" w:rsidRDefault="00A91B4C" w:rsidP="00A91B4C">
            <w:pPr>
              <w:jc w:val="left"/>
              <w:rPr>
                <w:i/>
                <w:iCs/>
              </w:rPr>
            </w:pPr>
            <w:proofErr w:type="spellStart"/>
            <w:r w:rsidRPr="006D47A9">
              <w:rPr>
                <w:i/>
                <w:iCs/>
              </w:rPr>
              <w:t>ulTxConfig</w:t>
            </w:r>
            <w:proofErr w:type="spellEnd"/>
            <w:r w:rsidRPr="006D47A9">
              <w:rPr>
                <w:i/>
                <w:iCs/>
              </w:rPr>
              <w:t>, PUSCH-</w:t>
            </w:r>
            <w:proofErr w:type="spellStart"/>
            <w:r w:rsidRPr="006D47A9">
              <w:rPr>
                <w:i/>
                <w:iCs/>
              </w:rPr>
              <w:t>tp</w:t>
            </w:r>
            <w:proofErr w:type="spellEnd"/>
            <w:r w:rsidRPr="006D47A9">
              <w:rPr>
                <w:i/>
                <w:iCs/>
              </w:rPr>
              <w:t xml:space="preserve">, </w:t>
            </w:r>
            <w:proofErr w:type="spellStart"/>
            <w:r w:rsidRPr="006D47A9">
              <w:rPr>
                <w:i/>
                <w:iCs/>
              </w:rPr>
              <w:t>ULmaxRank</w:t>
            </w:r>
            <w:proofErr w:type="spellEnd"/>
            <w:r w:rsidRPr="006D47A9">
              <w:rPr>
                <w:i/>
                <w:iCs/>
              </w:rPr>
              <w:t xml:space="preserve">, </w:t>
            </w:r>
            <w:proofErr w:type="spellStart"/>
            <w:r w:rsidRPr="006D47A9">
              <w:rPr>
                <w:i/>
                <w:iCs/>
              </w:rPr>
              <w:t>ULCodebookSubset</w:t>
            </w:r>
            <w:proofErr w:type="spellEnd"/>
          </w:p>
        </w:tc>
        <w:tc>
          <w:tcPr>
            <w:tcW w:w="1440" w:type="dxa"/>
          </w:tcPr>
          <w:p w14:paraId="73C19A93" w14:textId="77777777" w:rsidR="00A91B4C" w:rsidRPr="006D47A9" w:rsidRDefault="00A91B4C" w:rsidP="00A91B4C">
            <w:pPr>
              <w:jc w:val="left"/>
            </w:pPr>
            <w:r>
              <w:t>N</w:t>
            </w:r>
          </w:p>
        </w:tc>
        <w:tc>
          <w:tcPr>
            <w:tcW w:w="3063" w:type="dxa"/>
          </w:tcPr>
          <w:p w14:paraId="6553DCC1" w14:textId="77777777" w:rsidR="00A91B4C" w:rsidRPr="00F4460F" w:rsidRDefault="00A91B4C" w:rsidP="00A91B4C">
            <w:pPr>
              <w:jc w:val="left"/>
            </w:pPr>
            <w:r w:rsidRPr="006D47A9">
              <w:t>Index to fixed tables defined in the spec. May result in limitation in # layers, TPMI</w:t>
            </w:r>
          </w:p>
        </w:tc>
      </w:tr>
      <w:tr w:rsidR="00A91B4C" w14:paraId="47F0ED09" w14:textId="77777777" w:rsidTr="00A91B4C">
        <w:tc>
          <w:tcPr>
            <w:tcW w:w="1756" w:type="dxa"/>
          </w:tcPr>
          <w:p w14:paraId="4DD07669" w14:textId="77777777" w:rsidR="00A91B4C" w:rsidRDefault="00A91B4C" w:rsidP="00A91B4C">
            <w:pPr>
              <w:jc w:val="left"/>
              <w:rPr>
                <w:lang w:val="en-GB"/>
              </w:rPr>
            </w:pPr>
            <w:r w:rsidRPr="002D6A23">
              <w:rPr>
                <w:lang w:val="en-GB"/>
              </w:rPr>
              <w:t>Antenna ports</w:t>
            </w:r>
          </w:p>
        </w:tc>
        <w:tc>
          <w:tcPr>
            <w:tcW w:w="1216" w:type="dxa"/>
          </w:tcPr>
          <w:p w14:paraId="515B6958" w14:textId="77777777" w:rsidR="00A91B4C" w:rsidRDefault="00A91B4C" w:rsidP="00A91B4C">
            <w:pPr>
              <w:jc w:val="left"/>
              <w:rPr>
                <w:lang w:val="en-GB"/>
              </w:rPr>
            </w:pPr>
            <w:r>
              <w:rPr>
                <w:lang w:val="en-GB"/>
              </w:rPr>
              <w:t>2,3,4,5</w:t>
            </w:r>
          </w:p>
        </w:tc>
        <w:tc>
          <w:tcPr>
            <w:tcW w:w="2153" w:type="dxa"/>
          </w:tcPr>
          <w:p w14:paraId="3AE52E95" w14:textId="77777777" w:rsidR="00A91B4C" w:rsidRPr="006D47A9" w:rsidRDefault="00A91B4C" w:rsidP="00A91B4C">
            <w:pPr>
              <w:jc w:val="left"/>
              <w:rPr>
                <w:i/>
                <w:iCs/>
              </w:rPr>
            </w:pPr>
            <w:r w:rsidRPr="006D47A9">
              <w:rPr>
                <w:i/>
                <w:iCs/>
              </w:rPr>
              <w:t>PUSCH-</w:t>
            </w:r>
            <w:proofErr w:type="spellStart"/>
            <w:r w:rsidRPr="006D47A9">
              <w:rPr>
                <w:i/>
                <w:iCs/>
              </w:rPr>
              <w:t>tp</w:t>
            </w:r>
            <w:proofErr w:type="spellEnd"/>
            <w:r w:rsidRPr="006D47A9">
              <w:rPr>
                <w:i/>
                <w:iCs/>
              </w:rPr>
              <w:t>, UL-DMRS-config-type, UL-DMRS-max-</w:t>
            </w:r>
            <w:proofErr w:type="spellStart"/>
            <w:r w:rsidRPr="006D47A9">
              <w:rPr>
                <w:i/>
                <w:iCs/>
              </w:rPr>
              <w:t>len</w:t>
            </w:r>
            <w:proofErr w:type="spellEnd"/>
          </w:p>
        </w:tc>
        <w:tc>
          <w:tcPr>
            <w:tcW w:w="1440" w:type="dxa"/>
          </w:tcPr>
          <w:p w14:paraId="0538ED43" w14:textId="77777777" w:rsidR="00A91B4C" w:rsidRPr="006D47A9" w:rsidRDefault="00A91B4C" w:rsidP="00A91B4C">
            <w:pPr>
              <w:jc w:val="left"/>
            </w:pPr>
            <w:r>
              <w:t>N</w:t>
            </w:r>
          </w:p>
        </w:tc>
        <w:tc>
          <w:tcPr>
            <w:tcW w:w="3063" w:type="dxa"/>
          </w:tcPr>
          <w:p w14:paraId="73F2E2BA" w14:textId="77777777" w:rsidR="00A91B4C" w:rsidRPr="008C1E59" w:rsidRDefault="00A91B4C" w:rsidP="00A91B4C">
            <w:pPr>
              <w:jc w:val="left"/>
            </w:pPr>
            <w:r w:rsidRPr="006D47A9">
              <w:t>Index to fixed tables defined in the spec. May result in limitation in selection of CDM group, DMRS ports, # front-loaded sym.</w:t>
            </w:r>
          </w:p>
        </w:tc>
      </w:tr>
      <w:tr w:rsidR="00A91B4C" w14:paraId="7DDE3E80" w14:textId="77777777" w:rsidTr="00A91B4C">
        <w:tc>
          <w:tcPr>
            <w:tcW w:w="1756" w:type="dxa"/>
          </w:tcPr>
          <w:p w14:paraId="00C248AB" w14:textId="77777777" w:rsidR="00A91B4C" w:rsidRPr="009C1991" w:rsidRDefault="00A91B4C" w:rsidP="00A91B4C">
            <w:pPr>
              <w:jc w:val="left"/>
            </w:pPr>
            <w:r w:rsidRPr="009C1991">
              <w:t>CSI request</w:t>
            </w:r>
          </w:p>
        </w:tc>
        <w:tc>
          <w:tcPr>
            <w:tcW w:w="1216" w:type="dxa"/>
          </w:tcPr>
          <w:p w14:paraId="386A65CB" w14:textId="77777777" w:rsidR="00A91B4C" w:rsidRPr="008C1E59" w:rsidRDefault="00A91B4C" w:rsidP="00A91B4C">
            <w:pPr>
              <w:jc w:val="left"/>
            </w:pPr>
            <w:r w:rsidRPr="009C1991">
              <w:t>0,1,2,3,4,5,6</w:t>
            </w:r>
          </w:p>
        </w:tc>
        <w:tc>
          <w:tcPr>
            <w:tcW w:w="2153" w:type="dxa"/>
          </w:tcPr>
          <w:p w14:paraId="64CFF3E3" w14:textId="77777777" w:rsidR="00A91B4C" w:rsidRPr="008C1E59" w:rsidRDefault="00A91B4C" w:rsidP="00A91B4C">
            <w:pPr>
              <w:jc w:val="left"/>
            </w:pPr>
            <w:proofErr w:type="spellStart"/>
            <w:r w:rsidRPr="009C1991">
              <w:rPr>
                <w:i/>
                <w:iCs/>
                <w:lang w:val="en-GB"/>
              </w:rPr>
              <w:t>ReportTriggerSize</w:t>
            </w:r>
            <w:proofErr w:type="spellEnd"/>
            <w:r w:rsidRPr="009C1991">
              <w:rPr>
                <w:i/>
                <w:iCs/>
                <w:lang w:val="en-GB"/>
              </w:rPr>
              <w:t xml:space="preserve"> (in CSI-</w:t>
            </w:r>
            <w:proofErr w:type="spellStart"/>
            <w:r w:rsidRPr="009C1991">
              <w:rPr>
                <w:i/>
                <w:iCs/>
                <w:lang w:val="en-GB"/>
              </w:rPr>
              <w:t>MeasConfig</w:t>
            </w:r>
            <w:proofErr w:type="spellEnd"/>
            <w:r w:rsidRPr="009C1991">
              <w:rPr>
                <w:i/>
                <w:iCs/>
                <w:lang w:val="en-GB"/>
              </w:rPr>
              <w:t>)</w:t>
            </w:r>
          </w:p>
        </w:tc>
        <w:tc>
          <w:tcPr>
            <w:tcW w:w="1440" w:type="dxa"/>
          </w:tcPr>
          <w:p w14:paraId="18CC3A49" w14:textId="77777777" w:rsidR="00A91B4C" w:rsidRDefault="00A91B4C" w:rsidP="00A91B4C">
            <w:pPr>
              <w:jc w:val="left"/>
            </w:pPr>
            <w:r>
              <w:t>N</w:t>
            </w:r>
          </w:p>
        </w:tc>
        <w:tc>
          <w:tcPr>
            <w:tcW w:w="3063" w:type="dxa"/>
          </w:tcPr>
          <w:p w14:paraId="6DE4CECB" w14:textId="77777777" w:rsidR="00A91B4C" w:rsidRPr="008C1E59" w:rsidRDefault="00A91B4C" w:rsidP="00A91B4C">
            <w:pPr>
              <w:jc w:val="left"/>
            </w:pPr>
            <w:r>
              <w:t xml:space="preserve">Various degree of limitation on CSI request: </w:t>
            </w:r>
            <w:r w:rsidRPr="009C1991">
              <w:t xml:space="preserve">0 means no </w:t>
            </w:r>
            <w:r>
              <w:t>A-</w:t>
            </w:r>
            <w:r w:rsidRPr="009C1991">
              <w:t>CSI</w:t>
            </w:r>
            <w:r>
              <w:t xml:space="preserve"> </w:t>
            </w:r>
            <w:r w:rsidRPr="009C1991">
              <w:t xml:space="preserve">request. 1 bit </w:t>
            </w:r>
            <w:r>
              <w:t>for either no aperiodic triggering or one CSI-RS trigger</w:t>
            </w:r>
            <w:r w:rsidRPr="009C1991">
              <w:t>, etc.</w:t>
            </w:r>
          </w:p>
        </w:tc>
      </w:tr>
      <w:tr w:rsidR="00A91B4C" w14:paraId="24A87C26" w14:textId="77777777" w:rsidTr="00A91B4C">
        <w:tc>
          <w:tcPr>
            <w:tcW w:w="1756" w:type="dxa"/>
          </w:tcPr>
          <w:p w14:paraId="52109EF9" w14:textId="77777777" w:rsidR="00A91B4C" w:rsidRPr="009C1991" w:rsidRDefault="00A91B4C" w:rsidP="00A91B4C">
            <w:pPr>
              <w:jc w:val="left"/>
            </w:pPr>
            <w:r w:rsidRPr="009C1991">
              <w:t>PTRS-DMRS</w:t>
            </w:r>
          </w:p>
        </w:tc>
        <w:tc>
          <w:tcPr>
            <w:tcW w:w="1216" w:type="dxa"/>
          </w:tcPr>
          <w:p w14:paraId="62AF94A4" w14:textId="77777777" w:rsidR="00A91B4C" w:rsidRPr="008C1E59" w:rsidRDefault="00A91B4C" w:rsidP="00A91B4C">
            <w:pPr>
              <w:jc w:val="left"/>
            </w:pPr>
            <w:r>
              <w:t>0,2</w:t>
            </w:r>
          </w:p>
        </w:tc>
        <w:tc>
          <w:tcPr>
            <w:tcW w:w="2153" w:type="dxa"/>
          </w:tcPr>
          <w:p w14:paraId="04E63DC9" w14:textId="77777777" w:rsidR="00A91B4C" w:rsidRPr="008C1E59" w:rsidRDefault="00A91B4C" w:rsidP="00A91B4C">
            <w:pPr>
              <w:jc w:val="left"/>
            </w:pPr>
            <w:r w:rsidRPr="009C1991">
              <w:rPr>
                <w:i/>
                <w:iCs/>
              </w:rPr>
              <w:t>UL-PTRS-present</w:t>
            </w:r>
            <w:r w:rsidRPr="009C1991">
              <w:t xml:space="preserve">, </w:t>
            </w:r>
            <w:r w:rsidRPr="009C1991">
              <w:rPr>
                <w:i/>
                <w:iCs/>
              </w:rPr>
              <w:t>PUSCH-</w:t>
            </w:r>
            <w:proofErr w:type="spellStart"/>
            <w:r w:rsidRPr="009C1991">
              <w:rPr>
                <w:i/>
                <w:iCs/>
              </w:rPr>
              <w:t>tp</w:t>
            </w:r>
            <w:proofErr w:type="spellEnd"/>
          </w:p>
        </w:tc>
        <w:tc>
          <w:tcPr>
            <w:tcW w:w="1440" w:type="dxa"/>
          </w:tcPr>
          <w:p w14:paraId="0FDCF235" w14:textId="77777777" w:rsidR="00A91B4C" w:rsidRPr="009C1991" w:rsidRDefault="00A91B4C" w:rsidP="00A91B4C">
            <w:pPr>
              <w:jc w:val="left"/>
            </w:pPr>
            <w:r>
              <w:t>N</w:t>
            </w:r>
          </w:p>
        </w:tc>
        <w:tc>
          <w:tcPr>
            <w:tcW w:w="3063" w:type="dxa"/>
          </w:tcPr>
          <w:p w14:paraId="2A4498D9" w14:textId="77777777" w:rsidR="00A91B4C" w:rsidRPr="008C1E59" w:rsidRDefault="00A91B4C" w:rsidP="00A91B4C">
            <w:pPr>
              <w:jc w:val="left"/>
            </w:pPr>
            <w:r w:rsidRPr="009C1991">
              <w:t>Index to fixed tables defined in the spec. May result in use of first row only, leading to limitation on DMRS port, etc.</w:t>
            </w:r>
          </w:p>
        </w:tc>
      </w:tr>
      <w:tr w:rsidR="00A91B4C" w14:paraId="62B1D84F" w14:textId="77777777" w:rsidTr="00A91B4C">
        <w:tc>
          <w:tcPr>
            <w:tcW w:w="1756" w:type="dxa"/>
          </w:tcPr>
          <w:p w14:paraId="6EAF83EF" w14:textId="77777777" w:rsidR="00A91B4C" w:rsidRPr="009C1991" w:rsidRDefault="00A91B4C" w:rsidP="00A91B4C">
            <w:pPr>
              <w:jc w:val="left"/>
            </w:pPr>
            <w:proofErr w:type="spellStart"/>
            <w:r w:rsidRPr="009C1991">
              <w:t>Beta_offset</w:t>
            </w:r>
            <w:proofErr w:type="spellEnd"/>
          </w:p>
        </w:tc>
        <w:tc>
          <w:tcPr>
            <w:tcW w:w="1216" w:type="dxa"/>
          </w:tcPr>
          <w:p w14:paraId="5E6568A0" w14:textId="77777777" w:rsidR="00A91B4C" w:rsidRPr="008C1E59" w:rsidRDefault="00A91B4C" w:rsidP="00A91B4C">
            <w:pPr>
              <w:jc w:val="left"/>
            </w:pPr>
            <w:r>
              <w:t>0,2</w:t>
            </w:r>
          </w:p>
        </w:tc>
        <w:tc>
          <w:tcPr>
            <w:tcW w:w="2153" w:type="dxa"/>
          </w:tcPr>
          <w:p w14:paraId="736BA541" w14:textId="77777777" w:rsidR="00A91B4C" w:rsidRPr="008C1E59" w:rsidRDefault="00A91B4C" w:rsidP="00A91B4C">
            <w:pPr>
              <w:jc w:val="left"/>
            </w:pPr>
            <w:proofErr w:type="spellStart"/>
            <w:r w:rsidRPr="009C1991">
              <w:rPr>
                <w:i/>
                <w:iCs/>
              </w:rPr>
              <w:t>uci</w:t>
            </w:r>
            <w:proofErr w:type="spellEnd"/>
            <w:r w:rsidRPr="009C1991">
              <w:rPr>
                <w:i/>
                <w:iCs/>
              </w:rPr>
              <w:t>-on-PUSCH</w:t>
            </w:r>
          </w:p>
        </w:tc>
        <w:tc>
          <w:tcPr>
            <w:tcW w:w="1440" w:type="dxa"/>
          </w:tcPr>
          <w:p w14:paraId="03AF945F" w14:textId="77777777" w:rsidR="00A91B4C" w:rsidRPr="009C1991" w:rsidRDefault="00A91B4C" w:rsidP="00A91B4C">
            <w:pPr>
              <w:jc w:val="left"/>
            </w:pPr>
            <w:r>
              <w:t>N</w:t>
            </w:r>
          </w:p>
        </w:tc>
        <w:tc>
          <w:tcPr>
            <w:tcW w:w="3063" w:type="dxa"/>
          </w:tcPr>
          <w:p w14:paraId="01DBA767" w14:textId="77777777" w:rsidR="00A91B4C" w:rsidRPr="008C1E59" w:rsidRDefault="00A91B4C" w:rsidP="00A91B4C">
            <w:pPr>
              <w:jc w:val="left"/>
            </w:pPr>
            <w:r w:rsidRPr="009C1991">
              <w:t xml:space="preserve">Index to a configurable table. NW should put the most versatile configurations in the top </w:t>
            </w:r>
            <w:proofErr w:type="gramStart"/>
            <w:r w:rsidRPr="009C1991">
              <w:t>entries, but</w:t>
            </w:r>
            <w:proofErr w:type="gramEnd"/>
            <w:r w:rsidRPr="009C1991">
              <w:t xml:space="preserve"> may not be always feasible.</w:t>
            </w:r>
          </w:p>
        </w:tc>
      </w:tr>
      <w:tr w:rsidR="00A91B4C" w14:paraId="0199CF5D" w14:textId="77777777" w:rsidTr="00A91B4C">
        <w:tc>
          <w:tcPr>
            <w:tcW w:w="1756" w:type="dxa"/>
          </w:tcPr>
          <w:p w14:paraId="5BC429E3" w14:textId="77777777" w:rsidR="00A91B4C" w:rsidRPr="009C1991" w:rsidRDefault="00A91B4C" w:rsidP="00A91B4C">
            <w:pPr>
              <w:jc w:val="left"/>
            </w:pPr>
            <w:r w:rsidRPr="009C1991">
              <w:lastRenderedPageBreak/>
              <w:t>DMRS sequence initialization</w:t>
            </w:r>
          </w:p>
        </w:tc>
        <w:tc>
          <w:tcPr>
            <w:tcW w:w="1216" w:type="dxa"/>
          </w:tcPr>
          <w:p w14:paraId="0F87DC7C" w14:textId="77777777" w:rsidR="00A91B4C" w:rsidRPr="008C1E59" w:rsidRDefault="00A91B4C" w:rsidP="00A91B4C">
            <w:pPr>
              <w:jc w:val="left"/>
            </w:pPr>
            <w:r>
              <w:t>0,1</w:t>
            </w:r>
          </w:p>
        </w:tc>
        <w:tc>
          <w:tcPr>
            <w:tcW w:w="2153" w:type="dxa"/>
          </w:tcPr>
          <w:p w14:paraId="6A222D8D" w14:textId="77777777" w:rsidR="00A91B4C" w:rsidRPr="008C1E59" w:rsidRDefault="00A91B4C" w:rsidP="00A91B4C">
            <w:pPr>
              <w:jc w:val="left"/>
            </w:pPr>
            <w:r w:rsidRPr="009C1991">
              <w:rPr>
                <w:i/>
                <w:iCs/>
              </w:rPr>
              <w:t>PUSCH-</w:t>
            </w:r>
            <w:proofErr w:type="spellStart"/>
            <w:r w:rsidRPr="009C1991">
              <w:rPr>
                <w:i/>
                <w:iCs/>
              </w:rPr>
              <w:t>tp</w:t>
            </w:r>
            <w:proofErr w:type="spellEnd"/>
          </w:p>
        </w:tc>
        <w:tc>
          <w:tcPr>
            <w:tcW w:w="1440" w:type="dxa"/>
          </w:tcPr>
          <w:p w14:paraId="3C3A7661" w14:textId="77777777" w:rsidR="00A91B4C" w:rsidRPr="009C1991" w:rsidRDefault="00A91B4C" w:rsidP="00A91B4C">
            <w:pPr>
              <w:jc w:val="left"/>
            </w:pPr>
            <w:r>
              <w:t>N</w:t>
            </w:r>
          </w:p>
        </w:tc>
        <w:tc>
          <w:tcPr>
            <w:tcW w:w="3063" w:type="dxa"/>
          </w:tcPr>
          <w:p w14:paraId="29DC4041" w14:textId="77777777" w:rsidR="00A91B4C" w:rsidRPr="008C1E59" w:rsidRDefault="00A91B4C" w:rsidP="00A91B4C">
            <w:pPr>
              <w:jc w:val="left"/>
            </w:pPr>
            <w:r w:rsidRPr="009C1991">
              <w:t>May not be able to do non-orthogonal MU-MIMO</w:t>
            </w:r>
          </w:p>
        </w:tc>
      </w:tr>
    </w:tbl>
    <w:p w14:paraId="04B4DCC9" w14:textId="77777777" w:rsidR="00A91B4C" w:rsidRDefault="00A91B4C" w:rsidP="00A91B4C">
      <w:pPr>
        <w:rPr>
          <w:lang w:val="en-GB"/>
        </w:rPr>
      </w:pPr>
    </w:p>
    <w:p w14:paraId="2986AEC3" w14:textId="77777777" w:rsidR="00A91B4C" w:rsidRDefault="00A91B4C" w:rsidP="00A91B4C">
      <w:pPr>
        <w:rPr>
          <w:lang w:val="en-GB"/>
        </w:rPr>
      </w:pPr>
      <w:r>
        <w:rPr>
          <w:lang w:val="en-GB"/>
        </w:rPr>
        <w:t>Several observations can be made about DCI fields for Format 1_1 and 0_1:</w:t>
      </w:r>
    </w:p>
    <w:p w14:paraId="2EEB4677" w14:textId="77777777" w:rsidR="00A91B4C" w:rsidRDefault="00A91B4C" w:rsidP="00A91B4C">
      <w:pPr>
        <w:pStyle w:val="ListParagraph"/>
        <w:numPr>
          <w:ilvl w:val="0"/>
          <w:numId w:val="17"/>
        </w:numPr>
      </w:pPr>
      <w:r>
        <w:t>Significant percentage of the DCI fields have sizes which are dependent on BWP</w:t>
      </w:r>
    </w:p>
    <w:p w14:paraId="12FB12B2" w14:textId="77777777" w:rsidR="00A91B4C" w:rsidRDefault="00A91B4C" w:rsidP="00A91B4C">
      <w:pPr>
        <w:pStyle w:val="ListParagraph"/>
        <w:numPr>
          <w:ilvl w:val="1"/>
          <w:numId w:val="17"/>
        </w:numPr>
      </w:pPr>
      <w:r>
        <w:t>11 out of 24 fields for Format 0-1</w:t>
      </w:r>
    </w:p>
    <w:p w14:paraId="4508EF1F" w14:textId="77777777" w:rsidR="00A91B4C" w:rsidRDefault="00A91B4C" w:rsidP="00A91B4C">
      <w:pPr>
        <w:pStyle w:val="ListParagraph"/>
        <w:numPr>
          <w:ilvl w:val="1"/>
          <w:numId w:val="17"/>
        </w:numPr>
      </w:pPr>
      <w:r>
        <w:t>9 out of 22 fields for Format 1-1</w:t>
      </w:r>
    </w:p>
    <w:p w14:paraId="02CA6027" w14:textId="77777777" w:rsidR="00A91B4C" w:rsidRDefault="00A91B4C" w:rsidP="00A91B4C">
      <w:pPr>
        <w:pStyle w:val="ListParagraph"/>
        <w:numPr>
          <w:ilvl w:val="0"/>
          <w:numId w:val="17"/>
        </w:numPr>
      </w:pPr>
      <w:r>
        <w:t>For majority of those fields, when a field with small size in current BWP is used to schedule in new BWP expecting large field size, applying the transformation rule of zero-padding may result in major limitations:</w:t>
      </w:r>
    </w:p>
    <w:p w14:paraId="28D778E8" w14:textId="77777777" w:rsidR="00A91B4C" w:rsidRDefault="00A91B4C" w:rsidP="00A91B4C">
      <w:pPr>
        <w:pStyle w:val="ListParagraph"/>
        <w:numPr>
          <w:ilvl w:val="1"/>
          <w:numId w:val="17"/>
        </w:numPr>
      </w:pPr>
      <w:r>
        <w:t>For example, limited rank, layers, TPMI, DMRS ports, limited CSI request, no VRB-to-PRB mapping, no frequency hopping, no non-orthogonal MU-MIMO, invalid MCS/NDI/RV, etc</w:t>
      </w:r>
    </w:p>
    <w:p w14:paraId="393B3013" w14:textId="77777777" w:rsidR="00A91B4C" w:rsidRDefault="00A91B4C" w:rsidP="00A91B4C">
      <w:pPr>
        <w:pStyle w:val="ListParagraph"/>
        <w:numPr>
          <w:ilvl w:val="1"/>
          <w:numId w:val="17"/>
        </w:numPr>
      </w:pPr>
      <w:r>
        <w:t>For a few critical fields, the impact of the limitation may result in erroneous operation:</w:t>
      </w:r>
    </w:p>
    <w:p w14:paraId="374B5806" w14:textId="44DD2E4B" w:rsidR="00A91B4C" w:rsidRDefault="00A91B4C" w:rsidP="00274E57">
      <w:pPr>
        <w:pStyle w:val="ListParagraph"/>
        <w:numPr>
          <w:ilvl w:val="2"/>
          <w:numId w:val="17"/>
        </w:numPr>
      </w:pPr>
      <w:r>
        <w:t>Rate matching indicator</w:t>
      </w:r>
      <w:r w:rsidR="00F0545A">
        <w:t xml:space="preserve"> (DL), </w:t>
      </w:r>
      <w:r>
        <w:t>SRS resource indicator</w:t>
      </w:r>
      <w:r w:rsidR="00F0545A">
        <w:t xml:space="preserve"> (UL)</w:t>
      </w:r>
    </w:p>
    <w:p w14:paraId="607CA356" w14:textId="28A029D3" w:rsidR="00A91B4C" w:rsidRDefault="00A91B4C" w:rsidP="00A91B4C">
      <w:pPr>
        <w:pStyle w:val="ListParagraph"/>
        <w:numPr>
          <w:ilvl w:val="0"/>
          <w:numId w:val="17"/>
        </w:numPr>
      </w:pPr>
      <w:r>
        <w:t>It is expected that for typical BWP configuration, majority of those BWP-dependent DCI fields would actually have the same size across BWP, and cross-BWP scheduling should work fine.</w:t>
      </w:r>
    </w:p>
    <w:p w14:paraId="3774B395" w14:textId="65280F14" w:rsidR="00A91B4C" w:rsidRDefault="00A91B4C" w:rsidP="00A91B4C">
      <w:pPr>
        <w:rPr>
          <w:lang w:val="en-GB"/>
        </w:rPr>
      </w:pPr>
    </w:p>
    <w:p w14:paraId="3415A96F" w14:textId="5EBABB08" w:rsidR="002146C7" w:rsidRDefault="002A5953" w:rsidP="002A5953">
      <w:pPr>
        <w:pStyle w:val="Heading1"/>
      </w:pPr>
      <w:r>
        <w:t>Text Proposals</w:t>
      </w:r>
    </w:p>
    <w:p w14:paraId="3CA604BD" w14:textId="6712150B" w:rsidR="002A5953" w:rsidRDefault="002A5953" w:rsidP="002A5953">
      <w:pPr>
        <w:pStyle w:val="Heading2"/>
      </w:pPr>
      <w:r>
        <w:t>Frequency-domain RA field transformation</w:t>
      </w:r>
    </w:p>
    <w:p w14:paraId="5FDA0A3F" w14:textId="77777777" w:rsidR="002A5953" w:rsidRDefault="002A5953" w:rsidP="002A5953">
      <w:pPr>
        <w:rPr>
          <w:color w:val="FF0000"/>
          <w:lang w:val="en-GB"/>
        </w:rPr>
      </w:pPr>
      <w:r w:rsidRPr="00124273">
        <w:rPr>
          <w:color w:val="FF0000"/>
          <w:lang w:val="en-GB"/>
        </w:rPr>
        <w:t>---- Text Proposal</w:t>
      </w:r>
      <w:r>
        <w:rPr>
          <w:color w:val="FF0000"/>
          <w:lang w:val="en-GB"/>
        </w:rPr>
        <w:t xml:space="preserve"> for 38.213</w:t>
      </w:r>
      <w:r w:rsidRPr="00124273">
        <w:rPr>
          <w:color w:val="FF0000"/>
          <w:lang w:val="en-GB"/>
        </w:rPr>
        <w:t xml:space="preserve"> ----</w:t>
      </w:r>
    </w:p>
    <w:p w14:paraId="4AC803BA" w14:textId="77777777" w:rsidR="002A5953" w:rsidRDefault="002A5953" w:rsidP="002A5953">
      <w:pPr>
        <w:rPr>
          <w:sz w:val="26"/>
          <w:szCs w:val="26"/>
        </w:rPr>
      </w:pPr>
      <w:r>
        <w:rPr>
          <w:sz w:val="26"/>
          <w:szCs w:val="26"/>
        </w:rPr>
        <w:t>12 Bandwidth part operation</w:t>
      </w:r>
    </w:p>
    <w:p w14:paraId="7643E589" w14:textId="00FD2A58" w:rsidR="002A5953" w:rsidRDefault="00287D83" w:rsidP="002A5953">
      <w:pPr>
        <w:rPr>
          <w:lang w:val="en-GB"/>
        </w:rPr>
      </w:pPr>
      <w:r>
        <w:rPr>
          <w:lang w:val="en-GB"/>
        </w:rPr>
        <w:t>&lt;</w:t>
      </w:r>
      <w:r w:rsidR="002A5953">
        <w:rPr>
          <w:lang w:val="en-GB"/>
        </w:rPr>
        <w:t>…</w:t>
      </w:r>
      <w:r>
        <w:rPr>
          <w:lang w:val="en-GB"/>
        </w:rPr>
        <w:t>omitted</w:t>
      </w:r>
      <w:r w:rsidR="002A5953">
        <w:rPr>
          <w:lang w:val="en-GB"/>
        </w:rPr>
        <w:t xml:space="preserve">… </w:t>
      </w:r>
      <w:r>
        <w:rPr>
          <w:lang w:val="en-GB"/>
        </w:rPr>
        <w:t>&gt;</w:t>
      </w:r>
    </w:p>
    <w:p w14:paraId="0B8FEDC6" w14:textId="77777777" w:rsidR="002A5953" w:rsidRPr="002A5953" w:rsidRDefault="002A5953" w:rsidP="002A5953">
      <w:pPr>
        <w:pStyle w:val="Default"/>
        <w:rPr>
          <w:sz w:val="20"/>
          <w:szCs w:val="20"/>
        </w:rPr>
      </w:pPr>
      <w:r w:rsidRPr="002A5953">
        <w:rPr>
          <w:sz w:val="20"/>
          <w:szCs w:val="20"/>
        </w:rPr>
        <w:t xml:space="preserve">If a bandwidth part indicator field is configured in DCI format 0_1 or DCI format 1_1 and indicates an UL BWP or a DL BWP different from the active UL BWP or DL BWP, respectively, the UE shall </w:t>
      </w:r>
    </w:p>
    <w:p w14:paraId="2BA182D2" w14:textId="1D7A1C17" w:rsidR="002A5953" w:rsidRPr="002A5953" w:rsidRDefault="00287D83" w:rsidP="00287D83">
      <w:pPr>
        <w:pStyle w:val="Default"/>
        <w:ind w:left="288"/>
        <w:rPr>
          <w:sz w:val="20"/>
          <w:szCs w:val="20"/>
        </w:rPr>
      </w:pPr>
      <w:r>
        <w:rPr>
          <w:sz w:val="20"/>
          <w:szCs w:val="20"/>
        </w:rPr>
        <w:t xml:space="preserve">- </w:t>
      </w:r>
      <w:r w:rsidR="002A5953" w:rsidRPr="002A5953">
        <w:rPr>
          <w:sz w:val="20"/>
          <w:szCs w:val="20"/>
        </w:rPr>
        <w:t xml:space="preserve">for each information field in the received DCI format 0_1 or DCI format 1_1 </w:t>
      </w:r>
    </w:p>
    <w:p w14:paraId="6E248D79" w14:textId="66547FE6" w:rsidR="002A5953" w:rsidRPr="002A5953" w:rsidRDefault="00287D83" w:rsidP="00287D83">
      <w:pPr>
        <w:pStyle w:val="Default"/>
        <w:ind w:left="576"/>
        <w:rPr>
          <w:sz w:val="20"/>
          <w:szCs w:val="20"/>
        </w:rPr>
      </w:pPr>
      <w:r>
        <w:rPr>
          <w:sz w:val="20"/>
          <w:szCs w:val="20"/>
        </w:rPr>
        <w:t>&lt;…omitted…&gt;</w:t>
      </w:r>
    </w:p>
    <w:p w14:paraId="25983DD3" w14:textId="70946EFA" w:rsidR="002A5953" w:rsidRDefault="002A5953" w:rsidP="00287D83">
      <w:pPr>
        <w:ind w:left="576"/>
      </w:pPr>
      <w:r w:rsidRPr="002A5953">
        <w:t>- if the size of the information field is larger than the one required for the DCI format 0_1 or DCI format 1_1 interpretation for the UL BWP or DL BWP that is indicated by the bandwidth part indicator, respectively, the UE shall uses a number of least significant bits of DCI format 0_1 or DCI format 1_1 equal to the one required for the UL BWP or DL BWP indicated by bandwidth part indicator prior to interpreting the DCI format 0_1 or DCI format 1_1 information fields, respectively;</w:t>
      </w:r>
    </w:p>
    <w:p w14:paraId="097257BF" w14:textId="60292940" w:rsidR="00287D83" w:rsidRDefault="00287D83" w:rsidP="00287D83">
      <w:pPr>
        <w:ind w:left="576"/>
        <w:rPr>
          <w:lang w:val="en-GB"/>
        </w:rPr>
      </w:pPr>
      <w:r w:rsidRPr="00287D83">
        <w:rPr>
          <w:color w:val="FF0000"/>
          <w:lang w:val="en-GB"/>
        </w:rPr>
        <w:t xml:space="preserve">- for the frequency domain resource </w:t>
      </w:r>
      <w:r>
        <w:rPr>
          <w:color w:val="FF0000"/>
          <w:lang w:val="en-GB"/>
        </w:rPr>
        <w:t>assignment</w:t>
      </w:r>
      <w:r w:rsidRPr="00287D83">
        <w:rPr>
          <w:color w:val="FF0000"/>
          <w:lang w:val="en-GB"/>
        </w:rPr>
        <w:t xml:space="preserve"> field, the Type 0/1 indication</w:t>
      </w:r>
      <w:r w:rsidR="00FD33B6">
        <w:rPr>
          <w:color w:val="FF0000"/>
          <w:lang w:val="en-GB"/>
        </w:rPr>
        <w:t xml:space="preserve">, if exists, </w:t>
      </w:r>
      <w:r w:rsidRPr="00287D83">
        <w:rPr>
          <w:color w:val="FF0000"/>
          <w:lang w:val="en-GB"/>
        </w:rPr>
        <w:t xml:space="preserve">should be removed from the </w:t>
      </w:r>
      <w:r w:rsidR="00FD33B6">
        <w:rPr>
          <w:color w:val="FF0000"/>
          <w:lang w:val="en-GB"/>
        </w:rPr>
        <w:t xml:space="preserve">information </w:t>
      </w:r>
      <w:r w:rsidRPr="00287D83">
        <w:rPr>
          <w:color w:val="FF0000"/>
          <w:lang w:val="en-GB"/>
        </w:rPr>
        <w:t xml:space="preserve">field prior to truncation or zero-padding. In case both Type 0/1 </w:t>
      </w:r>
      <w:r w:rsidR="00FD33B6">
        <w:rPr>
          <w:color w:val="FF0000"/>
          <w:lang w:val="en-GB"/>
        </w:rPr>
        <w:t xml:space="preserve">allocation </w:t>
      </w:r>
      <w:r w:rsidRPr="00287D83">
        <w:rPr>
          <w:color w:val="FF0000"/>
          <w:lang w:val="en-GB"/>
        </w:rPr>
        <w:t xml:space="preserve">is configured for the BWP indicated by bandwidth part indicator, the MSB of the </w:t>
      </w:r>
      <w:r w:rsidR="00FD33B6">
        <w:rPr>
          <w:color w:val="FF0000"/>
          <w:lang w:val="en-GB"/>
        </w:rPr>
        <w:t xml:space="preserve">information </w:t>
      </w:r>
      <w:r w:rsidRPr="00287D83">
        <w:rPr>
          <w:color w:val="FF0000"/>
          <w:lang w:val="en-GB"/>
        </w:rPr>
        <w:t>field after truncation or zero-padding is converted into the Type 0/1 indication according to [7.3.1.1.2 and 7.3.1.2.2, TS 38.212].</w:t>
      </w:r>
    </w:p>
    <w:p w14:paraId="6E8690F3" w14:textId="3B73B8C2" w:rsidR="00287D83" w:rsidRDefault="00287D83" w:rsidP="00287D83">
      <w:pPr>
        <w:ind w:left="576"/>
        <w:rPr>
          <w:lang w:val="en-GB"/>
        </w:rPr>
      </w:pPr>
    </w:p>
    <w:p w14:paraId="14D042F7" w14:textId="77777777" w:rsidR="00287D83" w:rsidRPr="002A5953" w:rsidRDefault="00287D83" w:rsidP="00287D83">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18BF0ED3" w14:textId="77777777" w:rsidR="002A5953" w:rsidRPr="002A5953" w:rsidRDefault="002A5953" w:rsidP="002A5953">
      <w:pPr>
        <w:rPr>
          <w:lang w:val="en-GB"/>
        </w:rPr>
      </w:pPr>
    </w:p>
    <w:p w14:paraId="552BAFB1" w14:textId="3A9A7C84" w:rsidR="002A5953" w:rsidRDefault="002A5953" w:rsidP="002A5953">
      <w:pPr>
        <w:pStyle w:val="Heading2"/>
      </w:pPr>
      <w:r>
        <w:t>Agreements not yet captured</w:t>
      </w:r>
    </w:p>
    <w:p w14:paraId="2514426B" w14:textId="634E6C16" w:rsidR="002A5953" w:rsidRDefault="002A5953" w:rsidP="002A5953">
      <w:pPr>
        <w:rPr>
          <w:lang w:val="en-GB"/>
        </w:rPr>
      </w:pPr>
      <w:r>
        <w:rPr>
          <w:lang w:val="en-GB"/>
        </w:rPr>
        <w:t>The following agreements are missing in the specification.</w:t>
      </w:r>
    </w:p>
    <w:p w14:paraId="65A79DB5" w14:textId="77777777" w:rsidR="002A5953" w:rsidRDefault="002A5953" w:rsidP="002A5953">
      <w:pPr>
        <w:spacing w:after="0"/>
        <w:rPr>
          <w:b/>
          <w:u w:val="single"/>
          <w:lang w:eastAsia="x-none"/>
        </w:rPr>
      </w:pPr>
      <w:r>
        <w:rPr>
          <w:b/>
          <w:highlight w:val="green"/>
          <w:u w:val="single"/>
          <w:lang w:eastAsia="x-none"/>
        </w:rPr>
        <w:t>Agreements</w:t>
      </w:r>
      <w:r>
        <w:rPr>
          <w:b/>
          <w:u w:val="single"/>
          <w:lang w:eastAsia="x-none"/>
        </w:rPr>
        <w:t>: (RAN1#92)</w:t>
      </w:r>
    </w:p>
    <w:p w14:paraId="6A5A0A75" w14:textId="77777777" w:rsidR="002A5953" w:rsidRDefault="002A5953" w:rsidP="002A5953">
      <w:pPr>
        <w:numPr>
          <w:ilvl w:val="0"/>
          <w:numId w:val="36"/>
        </w:numPr>
        <w:tabs>
          <w:tab w:val="left" w:pos="1440"/>
        </w:tabs>
        <w:overflowPunct/>
        <w:autoSpaceDE/>
        <w:autoSpaceDN/>
        <w:adjustRightInd/>
        <w:spacing w:after="0"/>
        <w:ind w:left="714" w:hanging="357"/>
        <w:textAlignment w:val="auto"/>
        <w:rPr>
          <w:rFonts w:eastAsia="MS Mincho"/>
          <w:iCs/>
          <w:lang w:eastAsia="ja-JP"/>
        </w:rPr>
      </w:pPr>
      <w:r>
        <w:rPr>
          <w:rFonts w:eastAsia="MS Mincho"/>
          <w:iCs/>
          <w:lang w:eastAsia="ja-JP"/>
        </w:rPr>
        <w:lastRenderedPageBreak/>
        <w:t>A UE is not expected to receive DL signals or transmit UL signals during the transition time of active DL or UL BWP switch</w:t>
      </w:r>
    </w:p>
    <w:p w14:paraId="1B502550" w14:textId="77777777" w:rsidR="002A5953" w:rsidRDefault="002A5953" w:rsidP="002A5953">
      <w:pPr>
        <w:numPr>
          <w:ilvl w:val="1"/>
          <w:numId w:val="36"/>
        </w:numPr>
        <w:tabs>
          <w:tab w:val="left" w:pos="1440"/>
        </w:tabs>
        <w:overflowPunct/>
        <w:autoSpaceDE/>
        <w:autoSpaceDN/>
        <w:adjustRightInd/>
        <w:spacing w:after="0"/>
        <w:textAlignment w:val="auto"/>
        <w:rPr>
          <w:rFonts w:eastAsia="MS Mincho"/>
          <w:iCs/>
          <w:lang w:eastAsia="ja-JP"/>
        </w:rPr>
      </w:pPr>
      <w: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6CB43CBC" w14:textId="77777777" w:rsidR="002A5953" w:rsidRDefault="002A5953" w:rsidP="002A5953">
      <w:pPr>
        <w:numPr>
          <w:ilvl w:val="1"/>
          <w:numId w:val="36"/>
        </w:numPr>
        <w:tabs>
          <w:tab w:val="left" w:pos="1440"/>
        </w:tabs>
        <w:overflowPunct/>
        <w:autoSpaceDE/>
        <w:autoSpaceDN/>
        <w:adjustRightInd/>
        <w:spacing w:after="120"/>
        <w:ind w:left="1434" w:hanging="357"/>
        <w:textAlignment w:val="auto"/>
        <w:rPr>
          <w:rFonts w:eastAsia="MS Mincho"/>
          <w:iCs/>
          <w:lang w:eastAsia="ja-JP"/>
        </w:rPr>
      </w:pPr>
      <w: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Pr>
          <w:lang w:eastAsia="zh-TW"/>
        </w:rPr>
        <w:t>DL signals or transmit UL signals in the default DL BWP for paired spectrum or the default DL or UL BWP for unpaired spectrum</w:t>
      </w:r>
    </w:p>
    <w:p w14:paraId="41D3EA9C" w14:textId="4AD98914" w:rsidR="002A5953" w:rsidRDefault="002A5953" w:rsidP="002A5953">
      <w:pPr>
        <w:rPr>
          <w:lang w:val="en-GB"/>
        </w:rPr>
      </w:pPr>
    </w:p>
    <w:p w14:paraId="166C9E08" w14:textId="4B16ADA5" w:rsidR="002A5953" w:rsidRDefault="002A5953" w:rsidP="002A5953">
      <w:pPr>
        <w:rPr>
          <w:b/>
          <w:u w:val="single"/>
          <w:lang w:eastAsia="x-none"/>
        </w:rPr>
      </w:pPr>
      <w:r>
        <w:rPr>
          <w:b/>
          <w:highlight w:val="green"/>
          <w:u w:val="single"/>
          <w:lang w:eastAsia="x-none"/>
        </w:rPr>
        <w:t>Agreements</w:t>
      </w:r>
      <w:r>
        <w:rPr>
          <w:b/>
          <w:u w:val="single"/>
          <w:lang w:eastAsia="x-none"/>
        </w:rPr>
        <w:t>: (RAN1#92bis)</w:t>
      </w:r>
    </w:p>
    <w:p w14:paraId="144CD37A" w14:textId="77777777" w:rsidR="002A5953" w:rsidRDefault="002A5953" w:rsidP="002A5953">
      <w:pPr>
        <w:numPr>
          <w:ilvl w:val="0"/>
          <w:numId w:val="37"/>
        </w:numPr>
        <w:overflowPunct/>
        <w:autoSpaceDE/>
        <w:autoSpaceDN/>
        <w:adjustRightInd/>
        <w:spacing w:after="120"/>
        <w:ind w:left="567" w:hanging="210"/>
        <w:textAlignment w:val="auto"/>
        <w:rPr>
          <w:lang w:eastAsia="zh-TW"/>
        </w:rPr>
      </w:pPr>
      <w:r>
        <w:t>For DCI-based active DL (or UL) BWP switching, a UE is not expected to switch its active DL (or UL) BWP based on an active DL (or UL) BWP switching DCI which is considered as  invalid where invalidity is defined as when the signaled K0 (or K2) value in the DCI can’t guarantee the active DL (or UL) BWP switching delay equal to or larger than the one specified in RAN4 specs to the UE based on the UE’s capability.</w:t>
      </w:r>
    </w:p>
    <w:p w14:paraId="40105F5E" w14:textId="77777777" w:rsidR="002A5953" w:rsidRPr="002A5953" w:rsidRDefault="002A5953" w:rsidP="002A5953">
      <w:pPr>
        <w:rPr>
          <w:lang w:val="en-GB"/>
        </w:rPr>
      </w:pPr>
    </w:p>
    <w:p w14:paraId="1F33A966" w14:textId="586F9467" w:rsidR="002A5953" w:rsidRDefault="002A5953" w:rsidP="002A5953">
      <w:pPr>
        <w:rPr>
          <w:color w:val="FF0000"/>
          <w:lang w:val="en-GB"/>
        </w:rPr>
      </w:pPr>
      <w:r w:rsidRPr="00124273">
        <w:rPr>
          <w:color w:val="FF0000"/>
          <w:lang w:val="en-GB"/>
        </w:rPr>
        <w:t>---- Text Proposal</w:t>
      </w:r>
      <w:r>
        <w:rPr>
          <w:color w:val="FF0000"/>
          <w:lang w:val="en-GB"/>
        </w:rPr>
        <w:t xml:space="preserve"> for 38.213</w:t>
      </w:r>
      <w:r w:rsidRPr="00124273">
        <w:rPr>
          <w:color w:val="FF0000"/>
          <w:lang w:val="en-GB"/>
        </w:rPr>
        <w:t xml:space="preserve"> ----</w:t>
      </w:r>
    </w:p>
    <w:p w14:paraId="4B9D0D42" w14:textId="3E85DBB8" w:rsidR="002A5953" w:rsidRDefault="002A5953" w:rsidP="002A5953">
      <w:pPr>
        <w:rPr>
          <w:sz w:val="26"/>
          <w:szCs w:val="26"/>
        </w:rPr>
      </w:pPr>
      <w:r>
        <w:rPr>
          <w:sz w:val="26"/>
          <w:szCs w:val="26"/>
        </w:rPr>
        <w:t>12 Bandwidth part operation</w:t>
      </w:r>
    </w:p>
    <w:p w14:paraId="304AF6AA" w14:textId="68F0F835" w:rsidR="002A5953" w:rsidRDefault="00287D83" w:rsidP="002A5953">
      <w:pPr>
        <w:rPr>
          <w:lang w:val="en-GB"/>
        </w:rPr>
      </w:pPr>
      <w:r>
        <w:rPr>
          <w:lang w:val="en-GB"/>
        </w:rPr>
        <w:t>&lt;</w:t>
      </w:r>
      <w:r w:rsidR="002A5953">
        <w:rPr>
          <w:lang w:val="en-GB"/>
        </w:rPr>
        <w:t>…</w:t>
      </w:r>
      <w:r>
        <w:rPr>
          <w:lang w:val="en-GB"/>
        </w:rPr>
        <w:t>omitted</w:t>
      </w:r>
      <w:r w:rsidR="002A5953">
        <w:rPr>
          <w:lang w:val="en-GB"/>
        </w:rPr>
        <w:t xml:space="preserve">… </w:t>
      </w:r>
      <w:r>
        <w:rPr>
          <w:lang w:val="en-GB"/>
        </w:rPr>
        <w:t>&gt;</w:t>
      </w:r>
    </w:p>
    <w:p w14:paraId="3562453A" w14:textId="341F31E7" w:rsidR="002A5953" w:rsidRDefault="002A5953" w:rsidP="002A5953">
      <w:r w:rsidRPr="002A5953">
        <w:t>A UE expects to detect a DCI format 0_1 indicating active UL BWP change, or a DCI format 1_1 indicating active DL BWP change, only if a corresponding PDCCH is received within the first 3 symbols of a slot.</w:t>
      </w:r>
    </w:p>
    <w:p w14:paraId="2BCA2BBC" w14:textId="3AE6CBE8" w:rsidR="002A5953" w:rsidRDefault="002A5953" w:rsidP="002A5953">
      <w:pPr>
        <w:rPr>
          <w:lang w:eastAsia="zh-TW"/>
        </w:rPr>
      </w:pPr>
      <w:r w:rsidRPr="002A5953">
        <w:rPr>
          <w:rFonts w:eastAsia="MS Mincho"/>
          <w:iCs/>
          <w:color w:val="FF0000"/>
          <w:lang w:eastAsia="ja-JP"/>
        </w:rPr>
        <w:t xml:space="preserve">A UE is not expected to receive DL signals or transmit UL signals during the transition time of active DL or UL BWP switch. </w:t>
      </w:r>
      <w:r w:rsidRPr="002A5953">
        <w:rPr>
          <w:color w:val="FF0000"/>
        </w:rPr>
        <w:t xml:space="preserve">For DCI-based active BWP switch, the transition time of active DL or UL BWP switch is the time duration from the end of last OFDM symbol of the PDCCH carrying the active BWP switch DCI till the beginning of a slot indicated by K0 in the active DL BWP switch DCI or K2 in the active UL BWP switch DCI. For timer-based active BWP switch, the transition time of active DL or UL BWP switch is the time duration from the beginning of the subframe (FR1) or from the beginning of the half-subframe (FR2) immediately after a BWP timer expires till the beginning of a slot UE is able to receive </w:t>
      </w:r>
      <w:r w:rsidRPr="002A5953">
        <w:rPr>
          <w:color w:val="FF0000"/>
          <w:lang w:eastAsia="zh-TW"/>
        </w:rPr>
        <w:t>DL signals or transmit UL signals in the default DL BWP for paired spectrum or the default DL or UL BWP for unpaired spectrum.</w:t>
      </w:r>
    </w:p>
    <w:p w14:paraId="43294A50" w14:textId="1677EECF" w:rsidR="002A5953" w:rsidRDefault="002A5953" w:rsidP="002A5953">
      <w:pPr>
        <w:rPr>
          <w:lang w:val="en-GB"/>
        </w:rPr>
      </w:pPr>
      <w:r w:rsidRPr="002A5953">
        <w:rPr>
          <w:color w:val="FF0000"/>
        </w:rPr>
        <w:t xml:space="preserve">For DCI-based active DL (or UL) BWP switching, a UE is not expected to switch its active DL (or UL) BWP based on an active DL (or UL) BWP switching DCI which is considered as  invalid where invalidity is defined as when the signaled K0 (or K2) value in the DCI can’t guarantee the active DL (or UL) BWP switching delay equal to or larger than the one specified in </w:t>
      </w:r>
      <w:r>
        <w:rPr>
          <w:color w:val="FF0000"/>
        </w:rPr>
        <w:t>[</w:t>
      </w:r>
      <w:r w:rsidRPr="002A5953">
        <w:rPr>
          <w:color w:val="FF0000"/>
        </w:rPr>
        <w:t>RAN4 specs</w:t>
      </w:r>
      <w:r>
        <w:rPr>
          <w:color w:val="FF0000"/>
        </w:rPr>
        <w:t xml:space="preserve"> (TBD)]</w:t>
      </w:r>
      <w:r w:rsidRPr="002A5953">
        <w:rPr>
          <w:color w:val="FF0000"/>
        </w:rPr>
        <w:t xml:space="preserve"> to the UE based on the UE’s capability.</w:t>
      </w:r>
    </w:p>
    <w:p w14:paraId="1125BAA9" w14:textId="1EAEB97D" w:rsidR="002A5953" w:rsidRDefault="002A5953" w:rsidP="002A5953">
      <w:pPr>
        <w:rPr>
          <w:lang w:val="en-GB"/>
        </w:rPr>
      </w:pPr>
    </w:p>
    <w:p w14:paraId="300EA503" w14:textId="3CDD2B33" w:rsidR="002A5953" w:rsidRPr="002A5953" w:rsidRDefault="002A5953" w:rsidP="002A5953">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60DDED13" w14:textId="77777777" w:rsidR="002A5953" w:rsidRPr="002A5953" w:rsidRDefault="002A5953" w:rsidP="002A5953">
      <w:pPr>
        <w:rPr>
          <w:lang w:val="en-GB"/>
        </w:rPr>
      </w:pPr>
    </w:p>
    <w:sectPr w:rsidR="002A5953" w:rsidRPr="002A5953" w:rsidSect="008331BB">
      <w:headerReference w:type="even" r:id="rId33"/>
      <w:footerReference w:type="even" r:id="rId34"/>
      <w:footerReference w:type="default" r:id="rId35"/>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AA93E" w14:textId="77777777" w:rsidR="00342AF3" w:rsidRDefault="00342AF3">
      <w:r>
        <w:separator/>
      </w:r>
    </w:p>
  </w:endnote>
  <w:endnote w:type="continuationSeparator" w:id="0">
    <w:p w14:paraId="21650811" w14:textId="77777777" w:rsidR="00342AF3" w:rsidRDefault="00342AF3">
      <w:r>
        <w:continuationSeparator/>
      </w:r>
    </w:p>
  </w:endnote>
  <w:endnote w:type="continuationNotice" w:id="1">
    <w:p w14:paraId="7E8C3210" w14:textId="77777777" w:rsidR="00342AF3" w:rsidRDefault="00342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84FDD" w:rsidRDefault="00D84FD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84FDD" w:rsidRDefault="00D84FD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52E8E609" w:rsidR="00D84FDD" w:rsidRDefault="00D84FD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963AC" w14:textId="77777777" w:rsidR="00342AF3" w:rsidRDefault="00342AF3">
      <w:r>
        <w:separator/>
      </w:r>
    </w:p>
  </w:footnote>
  <w:footnote w:type="continuationSeparator" w:id="0">
    <w:p w14:paraId="54230835" w14:textId="77777777" w:rsidR="00342AF3" w:rsidRDefault="00342AF3">
      <w:r>
        <w:continuationSeparator/>
      </w:r>
    </w:p>
  </w:footnote>
  <w:footnote w:type="continuationNotice" w:id="1">
    <w:p w14:paraId="6C0F928D" w14:textId="77777777" w:rsidR="00342AF3" w:rsidRDefault="00342A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84FDD" w:rsidRDefault="00D84FD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15"/>
    <w:multiLevelType w:val="hybridMultilevel"/>
    <w:tmpl w:val="8648DA26"/>
    <w:lvl w:ilvl="0" w:tplc="68343256">
      <w:numFmt w:val="bullet"/>
      <w:lvlText w:val="-"/>
      <w:lvlJc w:val="left"/>
      <w:pPr>
        <w:ind w:left="800" w:hanging="400"/>
      </w:pPr>
      <w:rPr>
        <w:rFonts w:ascii="Times New Roman" w:eastAsia="Times New Roman" w:hAnsi="Times New Roman" w:cs="Times New Roman" w:hint="default"/>
      </w:rPr>
    </w:lvl>
    <w:lvl w:ilvl="1" w:tplc="04090003">
      <w:start w:val="1"/>
      <w:numFmt w:val="bullet"/>
      <w:lvlRestart w:val="0"/>
      <w:lvlText w:val=""/>
      <w:lvlJc w:val="left"/>
      <w:pPr>
        <w:ind w:left="1200" w:hanging="400"/>
      </w:pPr>
      <w:rPr>
        <w:rFonts w:ascii="Wingdings" w:hAnsi="Wingdings" w:hint="default"/>
      </w:rPr>
    </w:lvl>
    <w:lvl w:ilvl="2" w:tplc="04090005">
      <w:start w:val="1"/>
      <w:numFmt w:val="bullet"/>
      <w:lvlRestart w:val="0"/>
      <w:lvlText w:val=""/>
      <w:lvlJc w:val="left"/>
      <w:pPr>
        <w:ind w:left="1600" w:hanging="400"/>
      </w:pPr>
      <w:rPr>
        <w:rFonts w:ascii="Wingdings" w:hAnsi="Wingdings" w:hint="default"/>
      </w:rPr>
    </w:lvl>
    <w:lvl w:ilvl="3" w:tplc="04090001">
      <w:start w:val="1"/>
      <w:numFmt w:val="bullet"/>
      <w:lvlRestart w:val="0"/>
      <w:lvlText w:val=""/>
      <w:lvlJc w:val="left"/>
      <w:pPr>
        <w:ind w:left="2000" w:hanging="400"/>
      </w:pPr>
      <w:rPr>
        <w:rFonts w:ascii="Wingdings" w:hAnsi="Wingdings" w:hint="default"/>
      </w:rPr>
    </w:lvl>
    <w:lvl w:ilvl="4" w:tplc="04090003">
      <w:start w:val="1"/>
      <w:numFmt w:val="bullet"/>
      <w:lvlRestart w:val="0"/>
      <w:lvlText w:val=""/>
      <w:lvlJc w:val="left"/>
      <w:pPr>
        <w:ind w:left="2400" w:hanging="400"/>
      </w:pPr>
      <w:rPr>
        <w:rFonts w:ascii="Wingdings" w:hAnsi="Wingdings" w:hint="default"/>
      </w:rPr>
    </w:lvl>
    <w:lvl w:ilvl="5" w:tplc="04090005">
      <w:start w:val="1"/>
      <w:numFmt w:val="bullet"/>
      <w:lvlRestart w:val="0"/>
      <w:lvlText w:val=""/>
      <w:lvlJc w:val="left"/>
      <w:pPr>
        <w:ind w:left="2800" w:hanging="400"/>
      </w:pPr>
      <w:rPr>
        <w:rFonts w:ascii="Wingdings" w:hAnsi="Wingdings" w:hint="default"/>
      </w:rPr>
    </w:lvl>
    <w:lvl w:ilvl="6" w:tplc="04090001">
      <w:start w:val="1"/>
      <w:numFmt w:val="bullet"/>
      <w:lvlRestart w:val="0"/>
      <w:lvlText w:val=""/>
      <w:lvlJc w:val="left"/>
      <w:pPr>
        <w:ind w:left="3200" w:hanging="400"/>
      </w:pPr>
      <w:rPr>
        <w:rFonts w:ascii="Wingdings" w:hAnsi="Wingdings" w:hint="default"/>
      </w:rPr>
    </w:lvl>
    <w:lvl w:ilvl="7" w:tplc="04090003">
      <w:start w:val="1"/>
      <w:numFmt w:val="bullet"/>
      <w:lvlRestart w:val="0"/>
      <w:lvlText w:val=""/>
      <w:lvlJc w:val="left"/>
      <w:pPr>
        <w:ind w:left="3600" w:hanging="400"/>
      </w:pPr>
      <w:rPr>
        <w:rFonts w:ascii="Wingdings" w:hAnsi="Wingdings" w:hint="default"/>
      </w:rPr>
    </w:lvl>
    <w:lvl w:ilvl="8" w:tplc="04090005">
      <w:start w:val="1"/>
      <w:numFmt w:val="bullet"/>
      <w:lvlRestart w:val="0"/>
      <w:lvlText w:val=""/>
      <w:lvlJc w:val="left"/>
      <w:pPr>
        <w:ind w:left="4000" w:hanging="400"/>
      </w:pPr>
      <w:rPr>
        <w:rFonts w:ascii="Wingdings" w:hAnsi="Wingdings" w:hint="default"/>
      </w:rPr>
    </w:lvl>
  </w:abstractNum>
  <w:abstractNum w:abstractNumId="2" w15:restartNumberingAfterBreak="0">
    <w:nsid w:val="02407B56"/>
    <w:multiLevelType w:val="hybridMultilevel"/>
    <w:tmpl w:val="3CB45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3421EB"/>
    <w:multiLevelType w:val="hybridMultilevel"/>
    <w:tmpl w:val="B4826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3C53299"/>
    <w:multiLevelType w:val="hybridMultilevel"/>
    <w:tmpl w:val="CCFEC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C0CAA"/>
    <w:multiLevelType w:val="hybridMultilevel"/>
    <w:tmpl w:val="05FCF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526"/>
    <w:multiLevelType w:val="hybridMultilevel"/>
    <w:tmpl w:val="FD2AB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B3AD5"/>
    <w:multiLevelType w:val="hybridMultilevel"/>
    <w:tmpl w:val="6E74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95429"/>
    <w:multiLevelType w:val="hybridMultilevel"/>
    <w:tmpl w:val="DBF62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256B7"/>
    <w:multiLevelType w:val="hybridMultilevel"/>
    <w:tmpl w:val="4A98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5E81522">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8C2188"/>
    <w:multiLevelType w:val="hybridMultilevel"/>
    <w:tmpl w:val="51F8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D27A7"/>
    <w:multiLevelType w:val="hybridMultilevel"/>
    <w:tmpl w:val="E4C26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52125"/>
    <w:multiLevelType w:val="hybridMultilevel"/>
    <w:tmpl w:val="5E5C6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01D10"/>
    <w:multiLevelType w:val="hybridMultilevel"/>
    <w:tmpl w:val="2AD45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8B54CB"/>
    <w:multiLevelType w:val="hybridMultilevel"/>
    <w:tmpl w:val="8AEA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CA5BB0"/>
    <w:multiLevelType w:val="hybridMultilevel"/>
    <w:tmpl w:val="1F2E8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082F59"/>
    <w:multiLevelType w:val="hybridMultilevel"/>
    <w:tmpl w:val="5762ABC6"/>
    <w:lvl w:ilvl="0" w:tplc="66EA7476">
      <w:start w:val="1"/>
      <w:numFmt w:val="bullet"/>
      <w:lvlText w:val="•"/>
      <w:lvlJc w:val="left"/>
      <w:pPr>
        <w:tabs>
          <w:tab w:val="num" w:pos="720"/>
        </w:tabs>
        <w:ind w:left="720" w:hanging="360"/>
      </w:pPr>
      <w:rPr>
        <w:rFonts w:ascii="Arial" w:hAnsi="Arial" w:hint="default"/>
      </w:rPr>
    </w:lvl>
    <w:lvl w:ilvl="1" w:tplc="6ED0B014">
      <w:start w:val="1"/>
      <w:numFmt w:val="bullet"/>
      <w:lvlText w:val="•"/>
      <w:lvlJc w:val="left"/>
      <w:pPr>
        <w:tabs>
          <w:tab w:val="num" w:pos="1440"/>
        </w:tabs>
        <w:ind w:left="1440" w:hanging="360"/>
      </w:pPr>
      <w:rPr>
        <w:rFonts w:ascii="Arial" w:hAnsi="Arial" w:hint="default"/>
      </w:rPr>
    </w:lvl>
    <w:lvl w:ilvl="2" w:tplc="929AA5DC">
      <w:start w:val="1"/>
      <w:numFmt w:val="bullet"/>
      <w:lvlText w:val="•"/>
      <w:lvlJc w:val="left"/>
      <w:pPr>
        <w:tabs>
          <w:tab w:val="num" w:pos="2160"/>
        </w:tabs>
        <w:ind w:left="2160" w:hanging="360"/>
      </w:pPr>
      <w:rPr>
        <w:rFonts w:ascii="Arial" w:hAnsi="Arial" w:hint="default"/>
      </w:rPr>
    </w:lvl>
    <w:lvl w:ilvl="3" w:tplc="9476FD32">
      <w:start w:val="1"/>
      <w:numFmt w:val="bullet"/>
      <w:lvlText w:val="•"/>
      <w:lvlJc w:val="left"/>
      <w:pPr>
        <w:tabs>
          <w:tab w:val="num" w:pos="2880"/>
        </w:tabs>
        <w:ind w:left="2880" w:hanging="360"/>
      </w:pPr>
      <w:rPr>
        <w:rFonts w:ascii="Arial" w:hAnsi="Arial" w:hint="default"/>
      </w:rPr>
    </w:lvl>
    <w:lvl w:ilvl="4" w:tplc="31700B04" w:tentative="1">
      <w:start w:val="1"/>
      <w:numFmt w:val="bullet"/>
      <w:lvlText w:val="•"/>
      <w:lvlJc w:val="left"/>
      <w:pPr>
        <w:tabs>
          <w:tab w:val="num" w:pos="3600"/>
        </w:tabs>
        <w:ind w:left="3600" w:hanging="360"/>
      </w:pPr>
      <w:rPr>
        <w:rFonts w:ascii="Arial" w:hAnsi="Arial" w:hint="default"/>
      </w:rPr>
    </w:lvl>
    <w:lvl w:ilvl="5" w:tplc="D560451A" w:tentative="1">
      <w:start w:val="1"/>
      <w:numFmt w:val="bullet"/>
      <w:lvlText w:val="•"/>
      <w:lvlJc w:val="left"/>
      <w:pPr>
        <w:tabs>
          <w:tab w:val="num" w:pos="4320"/>
        </w:tabs>
        <w:ind w:left="4320" w:hanging="360"/>
      </w:pPr>
      <w:rPr>
        <w:rFonts w:ascii="Arial" w:hAnsi="Arial" w:hint="default"/>
      </w:rPr>
    </w:lvl>
    <w:lvl w:ilvl="6" w:tplc="6662380A" w:tentative="1">
      <w:start w:val="1"/>
      <w:numFmt w:val="bullet"/>
      <w:lvlText w:val="•"/>
      <w:lvlJc w:val="left"/>
      <w:pPr>
        <w:tabs>
          <w:tab w:val="num" w:pos="5040"/>
        </w:tabs>
        <w:ind w:left="5040" w:hanging="360"/>
      </w:pPr>
      <w:rPr>
        <w:rFonts w:ascii="Arial" w:hAnsi="Arial" w:hint="default"/>
      </w:rPr>
    </w:lvl>
    <w:lvl w:ilvl="7" w:tplc="535454C2" w:tentative="1">
      <w:start w:val="1"/>
      <w:numFmt w:val="bullet"/>
      <w:lvlText w:val="•"/>
      <w:lvlJc w:val="left"/>
      <w:pPr>
        <w:tabs>
          <w:tab w:val="num" w:pos="5760"/>
        </w:tabs>
        <w:ind w:left="5760" w:hanging="360"/>
      </w:pPr>
      <w:rPr>
        <w:rFonts w:ascii="Arial" w:hAnsi="Arial" w:hint="default"/>
      </w:rPr>
    </w:lvl>
    <w:lvl w:ilvl="8" w:tplc="EA36A9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DC5810"/>
    <w:multiLevelType w:val="hybridMultilevel"/>
    <w:tmpl w:val="673276CA"/>
    <w:lvl w:ilvl="0" w:tplc="BF62B1CC">
      <w:start w:val="1"/>
      <w:numFmt w:val="bullet"/>
      <w:lvlText w:val="•"/>
      <w:lvlJc w:val="left"/>
      <w:pPr>
        <w:tabs>
          <w:tab w:val="num" w:pos="720"/>
        </w:tabs>
        <w:ind w:left="720" w:hanging="360"/>
      </w:pPr>
      <w:rPr>
        <w:rFonts w:ascii="Arial" w:hAnsi="Arial" w:hint="default"/>
      </w:rPr>
    </w:lvl>
    <w:lvl w:ilvl="1" w:tplc="8F52B814">
      <w:start w:val="1"/>
      <w:numFmt w:val="bullet"/>
      <w:lvlText w:val="•"/>
      <w:lvlJc w:val="left"/>
      <w:pPr>
        <w:tabs>
          <w:tab w:val="num" w:pos="1440"/>
        </w:tabs>
        <w:ind w:left="1440" w:hanging="360"/>
      </w:pPr>
      <w:rPr>
        <w:rFonts w:ascii="Arial" w:hAnsi="Arial" w:hint="default"/>
      </w:rPr>
    </w:lvl>
    <w:lvl w:ilvl="2" w:tplc="5A0C1BE6">
      <w:start w:val="174"/>
      <w:numFmt w:val="bullet"/>
      <w:lvlText w:val="•"/>
      <w:lvlJc w:val="left"/>
      <w:pPr>
        <w:tabs>
          <w:tab w:val="num" w:pos="2160"/>
        </w:tabs>
        <w:ind w:left="2160" w:hanging="360"/>
      </w:pPr>
      <w:rPr>
        <w:rFonts w:ascii="Arial" w:hAnsi="Arial" w:hint="default"/>
      </w:rPr>
    </w:lvl>
    <w:lvl w:ilvl="3" w:tplc="ADE6CFB0" w:tentative="1">
      <w:start w:val="1"/>
      <w:numFmt w:val="bullet"/>
      <w:lvlText w:val="•"/>
      <w:lvlJc w:val="left"/>
      <w:pPr>
        <w:tabs>
          <w:tab w:val="num" w:pos="2880"/>
        </w:tabs>
        <w:ind w:left="2880" w:hanging="360"/>
      </w:pPr>
      <w:rPr>
        <w:rFonts w:ascii="Arial" w:hAnsi="Arial" w:hint="default"/>
      </w:rPr>
    </w:lvl>
    <w:lvl w:ilvl="4" w:tplc="50F05656" w:tentative="1">
      <w:start w:val="1"/>
      <w:numFmt w:val="bullet"/>
      <w:lvlText w:val="•"/>
      <w:lvlJc w:val="left"/>
      <w:pPr>
        <w:tabs>
          <w:tab w:val="num" w:pos="3600"/>
        </w:tabs>
        <w:ind w:left="3600" w:hanging="360"/>
      </w:pPr>
      <w:rPr>
        <w:rFonts w:ascii="Arial" w:hAnsi="Arial" w:hint="default"/>
      </w:rPr>
    </w:lvl>
    <w:lvl w:ilvl="5" w:tplc="9962B144" w:tentative="1">
      <w:start w:val="1"/>
      <w:numFmt w:val="bullet"/>
      <w:lvlText w:val="•"/>
      <w:lvlJc w:val="left"/>
      <w:pPr>
        <w:tabs>
          <w:tab w:val="num" w:pos="4320"/>
        </w:tabs>
        <w:ind w:left="4320" w:hanging="360"/>
      </w:pPr>
      <w:rPr>
        <w:rFonts w:ascii="Arial" w:hAnsi="Arial" w:hint="default"/>
      </w:rPr>
    </w:lvl>
    <w:lvl w:ilvl="6" w:tplc="F0F0E466" w:tentative="1">
      <w:start w:val="1"/>
      <w:numFmt w:val="bullet"/>
      <w:lvlText w:val="•"/>
      <w:lvlJc w:val="left"/>
      <w:pPr>
        <w:tabs>
          <w:tab w:val="num" w:pos="5040"/>
        </w:tabs>
        <w:ind w:left="5040" w:hanging="360"/>
      </w:pPr>
      <w:rPr>
        <w:rFonts w:ascii="Arial" w:hAnsi="Arial" w:hint="default"/>
      </w:rPr>
    </w:lvl>
    <w:lvl w:ilvl="7" w:tplc="D28248DA" w:tentative="1">
      <w:start w:val="1"/>
      <w:numFmt w:val="bullet"/>
      <w:lvlText w:val="•"/>
      <w:lvlJc w:val="left"/>
      <w:pPr>
        <w:tabs>
          <w:tab w:val="num" w:pos="5760"/>
        </w:tabs>
        <w:ind w:left="5760" w:hanging="360"/>
      </w:pPr>
      <w:rPr>
        <w:rFonts w:ascii="Arial" w:hAnsi="Arial" w:hint="default"/>
      </w:rPr>
    </w:lvl>
    <w:lvl w:ilvl="8" w:tplc="4FD645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401F96"/>
    <w:multiLevelType w:val="hybridMultilevel"/>
    <w:tmpl w:val="0D42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54105F"/>
    <w:multiLevelType w:val="hybridMultilevel"/>
    <w:tmpl w:val="09DA5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E9653E"/>
    <w:multiLevelType w:val="hybridMultilevel"/>
    <w:tmpl w:val="7A92B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58546F"/>
    <w:multiLevelType w:val="hybridMultilevel"/>
    <w:tmpl w:val="EE2CB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75549C"/>
    <w:multiLevelType w:val="hybridMultilevel"/>
    <w:tmpl w:val="A68E43D6"/>
    <w:lvl w:ilvl="0" w:tplc="83D06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E32384F"/>
    <w:multiLevelType w:val="multilevel"/>
    <w:tmpl w:val="0108FE98"/>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cs="Times New Roman" w:hint="default"/>
      </w:rPr>
    </w:lvl>
    <w:lvl w:ilvl="1" w:tplc="2740252A">
      <w:start w:val="242"/>
      <w:numFmt w:val="bullet"/>
      <w:lvlText w:val="•"/>
      <w:lvlJc w:val="left"/>
      <w:pPr>
        <w:tabs>
          <w:tab w:val="num" w:pos="1440"/>
        </w:tabs>
        <w:ind w:left="1440" w:hanging="360"/>
      </w:pPr>
      <w:rPr>
        <w:rFonts w:ascii="Arial" w:hAnsi="Arial" w:cs="Times New Roman" w:hint="default"/>
      </w:rPr>
    </w:lvl>
    <w:lvl w:ilvl="2" w:tplc="3D7E9FE2">
      <w:start w:val="242"/>
      <w:numFmt w:val="bullet"/>
      <w:lvlText w:val="•"/>
      <w:lvlJc w:val="left"/>
      <w:pPr>
        <w:tabs>
          <w:tab w:val="num" w:pos="2160"/>
        </w:tabs>
        <w:ind w:left="2160" w:hanging="360"/>
      </w:pPr>
      <w:rPr>
        <w:rFonts w:ascii="Arial" w:hAnsi="Arial" w:cs="Times New Roman" w:hint="default"/>
      </w:rPr>
    </w:lvl>
    <w:lvl w:ilvl="3" w:tplc="3D206D28">
      <w:start w:val="242"/>
      <w:numFmt w:val="bullet"/>
      <w:lvlText w:val="•"/>
      <w:lvlJc w:val="left"/>
      <w:pPr>
        <w:tabs>
          <w:tab w:val="num" w:pos="2880"/>
        </w:tabs>
        <w:ind w:left="2880" w:hanging="360"/>
      </w:pPr>
      <w:rPr>
        <w:rFonts w:ascii="Arial" w:hAnsi="Arial" w:cs="Times New Roman" w:hint="default"/>
      </w:rPr>
    </w:lvl>
    <w:lvl w:ilvl="4" w:tplc="301AA90C">
      <w:start w:val="1"/>
      <w:numFmt w:val="bullet"/>
      <w:lvlText w:val="•"/>
      <w:lvlJc w:val="left"/>
      <w:pPr>
        <w:tabs>
          <w:tab w:val="num" w:pos="3600"/>
        </w:tabs>
        <w:ind w:left="3600" w:hanging="360"/>
      </w:pPr>
      <w:rPr>
        <w:rFonts w:ascii="Arial" w:hAnsi="Arial" w:cs="Times New Roman" w:hint="default"/>
      </w:rPr>
    </w:lvl>
    <w:lvl w:ilvl="5" w:tplc="A1523C68">
      <w:start w:val="1"/>
      <w:numFmt w:val="bullet"/>
      <w:lvlText w:val="•"/>
      <w:lvlJc w:val="left"/>
      <w:pPr>
        <w:tabs>
          <w:tab w:val="num" w:pos="4320"/>
        </w:tabs>
        <w:ind w:left="4320" w:hanging="360"/>
      </w:pPr>
      <w:rPr>
        <w:rFonts w:ascii="Arial" w:hAnsi="Arial" w:cs="Times New Roman" w:hint="default"/>
      </w:rPr>
    </w:lvl>
    <w:lvl w:ilvl="6" w:tplc="BB60DC2A">
      <w:start w:val="1"/>
      <w:numFmt w:val="bullet"/>
      <w:lvlText w:val="•"/>
      <w:lvlJc w:val="left"/>
      <w:pPr>
        <w:tabs>
          <w:tab w:val="num" w:pos="5040"/>
        </w:tabs>
        <w:ind w:left="5040" w:hanging="360"/>
      </w:pPr>
      <w:rPr>
        <w:rFonts w:ascii="Arial" w:hAnsi="Arial" w:cs="Times New Roman" w:hint="default"/>
      </w:rPr>
    </w:lvl>
    <w:lvl w:ilvl="7" w:tplc="CEF40D46">
      <w:start w:val="1"/>
      <w:numFmt w:val="bullet"/>
      <w:lvlText w:val="•"/>
      <w:lvlJc w:val="left"/>
      <w:pPr>
        <w:tabs>
          <w:tab w:val="num" w:pos="5760"/>
        </w:tabs>
        <w:ind w:left="5760" w:hanging="360"/>
      </w:pPr>
      <w:rPr>
        <w:rFonts w:ascii="Arial" w:hAnsi="Arial" w:cs="Times New Roman" w:hint="default"/>
      </w:rPr>
    </w:lvl>
    <w:lvl w:ilvl="8" w:tplc="8EEA0B5C">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6"/>
  </w:num>
  <w:num w:numId="4">
    <w:abstractNumId w:val="0"/>
  </w:num>
  <w:num w:numId="5">
    <w:abstractNumId w:val="37"/>
  </w:num>
  <w:num w:numId="6">
    <w:abstractNumId w:val="15"/>
  </w:num>
  <w:num w:numId="7">
    <w:abstractNumId w:val="13"/>
  </w:num>
  <w:num w:numId="8">
    <w:abstractNumId w:val="29"/>
  </w:num>
  <w:num w:numId="9">
    <w:abstractNumId w:val="8"/>
  </w:num>
  <w:num w:numId="10">
    <w:abstractNumId w:val="7"/>
  </w:num>
  <w:num w:numId="11">
    <w:abstractNumId w:val="5"/>
  </w:num>
  <w:num w:numId="12">
    <w:abstractNumId w:val="34"/>
  </w:num>
  <w:num w:numId="13">
    <w:abstractNumId w:val="35"/>
  </w:num>
  <w:num w:numId="14">
    <w:abstractNumId w:val="30"/>
  </w:num>
  <w:num w:numId="15">
    <w:abstractNumId w:val="18"/>
  </w:num>
  <w:num w:numId="16">
    <w:abstractNumId w:val="14"/>
  </w:num>
  <w:num w:numId="17">
    <w:abstractNumId w:val="20"/>
  </w:num>
  <w:num w:numId="18">
    <w:abstractNumId w:val="27"/>
  </w:num>
  <w:num w:numId="19">
    <w:abstractNumId w:val="24"/>
  </w:num>
  <w:num w:numId="20">
    <w:abstractNumId w:val="38"/>
  </w:num>
  <w:num w:numId="21">
    <w:abstractNumId w:val="2"/>
  </w:num>
  <w:num w:numId="22">
    <w:abstractNumId w:val="3"/>
  </w:num>
  <w:num w:numId="23">
    <w:abstractNumId w:val="25"/>
  </w:num>
  <w:num w:numId="24">
    <w:abstractNumId w:val="22"/>
  </w:num>
  <w:num w:numId="25">
    <w:abstractNumId w:val="11"/>
  </w:num>
  <w:num w:numId="26">
    <w:abstractNumId w:val="9"/>
  </w:num>
  <w:num w:numId="27">
    <w:abstractNumId w:val="36"/>
  </w:num>
  <w:num w:numId="28">
    <w:abstractNumId w:val="39"/>
  </w:num>
  <w:num w:numId="29">
    <w:abstractNumId w:val="26"/>
  </w:num>
  <w:num w:numId="30">
    <w:abstractNumId w:val="33"/>
  </w:num>
  <w:num w:numId="31">
    <w:abstractNumId w:val="31"/>
  </w:num>
  <w:num w:numId="32">
    <w:abstractNumId w:val="19"/>
  </w:num>
  <w:num w:numId="33">
    <w:abstractNumId w:val="17"/>
  </w:num>
  <w:num w:numId="34">
    <w:abstractNumId w:val="28"/>
  </w:num>
  <w:num w:numId="35">
    <w:abstractNumId w:val="10"/>
  </w:num>
  <w:num w:numId="36">
    <w:abstractNumId w:val="23"/>
    <w:lvlOverride w:ilvl="0"/>
    <w:lvlOverride w:ilvl="1"/>
    <w:lvlOverride w:ilvl="2"/>
    <w:lvlOverride w:ilvl="3"/>
    <w:lvlOverride w:ilvl="4"/>
    <w:lvlOverride w:ilvl="5"/>
    <w:lvlOverride w:ilvl="6"/>
    <w:lvlOverride w:ilvl="7"/>
    <w:lvlOverride w:ilvl="8"/>
  </w:num>
  <w:num w:numId="37">
    <w:abstractNumId w:val="32"/>
    <w:lvlOverride w:ilvl="0"/>
    <w:lvlOverride w:ilvl="1"/>
    <w:lvlOverride w:ilvl="2"/>
    <w:lvlOverride w:ilvl="3"/>
    <w:lvlOverride w:ilvl="4"/>
    <w:lvlOverride w:ilvl="5"/>
    <w:lvlOverride w:ilvl="6"/>
    <w:lvlOverride w:ilvl="7"/>
    <w:lvlOverride w:ilvl="8"/>
  </w:num>
  <w:num w:numId="38">
    <w:abstractNumId w:val="6"/>
    <w:lvlOverride w:ilvl="0"/>
    <w:lvlOverride w:ilvl="1"/>
    <w:lvlOverride w:ilvl="2"/>
    <w:lvlOverride w:ilvl="3"/>
    <w:lvlOverride w:ilvl="4"/>
    <w:lvlOverride w:ilvl="5"/>
    <w:lvlOverride w:ilvl="6"/>
    <w:lvlOverride w:ilvl="7"/>
    <w:lvlOverride w:ilvl="8"/>
  </w:num>
  <w:num w:numId="39">
    <w:abstractNumId w:val="21"/>
    <w:lvlOverride w:ilvl="0"/>
    <w:lvlOverride w:ilvl="1"/>
    <w:lvlOverride w:ilvl="2"/>
    <w:lvlOverride w:ilvl="3"/>
    <w:lvlOverride w:ilvl="4"/>
    <w:lvlOverride w:ilvl="5"/>
    <w:lvlOverride w:ilvl="6"/>
    <w:lvlOverride w:ilvl="7"/>
    <w:lvlOverride w:ilvl="8"/>
  </w:num>
  <w:num w:numId="40">
    <w:abstractNumId w:val="1"/>
  </w:num>
  <w:num w:numId="41">
    <w:abstractNumId w:val="26"/>
    <w:lvlOverride w:ilvl="0"/>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708"/>
    <w:rsid w:val="00000ECA"/>
    <w:rsid w:val="00000F7F"/>
    <w:rsid w:val="00001375"/>
    <w:rsid w:val="000014E9"/>
    <w:rsid w:val="00001F79"/>
    <w:rsid w:val="00001FC3"/>
    <w:rsid w:val="000022AF"/>
    <w:rsid w:val="00002375"/>
    <w:rsid w:val="00002626"/>
    <w:rsid w:val="0000270A"/>
    <w:rsid w:val="00002A8E"/>
    <w:rsid w:val="00002E3E"/>
    <w:rsid w:val="00003131"/>
    <w:rsid w:val="00003227"/>
    <w:rsid w:val="000037FB"/>
    <w:rsid w:val="00003B0E"/>
    <w:rsid w:val="00003EF4"/>
    <w:rsid w:val="0000403F"/>
    <w:rsid w:val="00004885"/>
    <w:rsid w:val="000049E1"/>
    <w:rsid w:val="00004D8C"/>
    <w:rsid w:val="00004DBC"/>
    <w:rsid w:val="00004DCB"/>
    <w:rsid w:val="00004DFC"/>
    <w:rsid w:val="000051F0"/>
    <w:rsid w:val="0000545A"/>
    <w:rsid w:val="0000553B"/>
    <w:rsid w:val="000055B3"/>
    <w:rsid w:val="00005D97"/>
    <w:rsid w:val="000063BC"/>
    <w:rsid w:val="00006780"/>
    <w:rsid w:val="00006C7A"/>
    <w:rsid w:val="00006D0A"/>
    <w:rsid w:val="000070F5"/>
    <w:rsid w:val="000072BD"/>
    <w:rsid w:val="00007495"/>
    <w:rsid w:val="0000792C"/>
    <w:rsid w:val="00007B4B"/>
    <w:rsid w:val="00007D32"/>
    <w:rsid w:val="000100D9"/>
    <w:rsid w:val="000101EF"/>
    <w:rsid w:val="00010DBF"/>
    <w:rsid w:val="00010E97"/>
    <w:rsid w:val="00010F20"/>
    <w:rsid w:val="00010FD1"/>
    <w:rsid w:val="0001117C"/>
    <w:rsid w:val="000124D1"/>
    <w:rsid w:val="00012973"/>
    <w:rsid w:val="00012B38"/>
    <w:rsid w:val="00012D57"/>
    <w:rsid w:val="0001321B"/>
    <w:rsid w:val="0001369A"/>
    <w:rsid w:val="000137BA"/>
    <w:rsid w:val="00013B63"/>
    <w:rsid w:val="00013F64"/>
    <w:rsid w:val="000141F0"/>
    <w:rsid w:val="00014E0E"/>
    <w:rsid w:val="00015814"/>
    <w:rsid w:val="00015BCB"/>
    <w:rsid w:val="00015CED"/>
    <w:rsid w:val="000162B2"/>
    <w:rsid w:val="0001645D"/>
    <w:rsid w:val="000164BB"/>
    <w:rsid w:val="000166FB"/>
    <w:rsid w:val="000167A6"/>
    <w:rsid w:val="00016DCE"/>
    <w:rsid w:val="00017309"/>
    <w:rsid w:val="00017798"/>
    <w:rsid w:val="00017EE3"/>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A58"/>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ECB"/>
    <w:rsid w:val="000300FE"/>
    <w:rsid w:val="00030619"/>
    <w:rsid w:val="0003070D"/>
    <w:rsid w:val="000307C6"/>
    <w:rsid w:val="00030F74"/>
    <w:rsid w:val="00030F85"/>
    <w:rsid w:val="000312B4"/>
    <w:rsid w:val="0003134F"/>
    <w:rsid w:val="000317B2"/>
    <w:rsid w:val="00031DBF"/>
    <w:rsid w:val="00031EDD"/>
    <w:rsid w:val="000321DC"/>
    <w:rsid w:val="000325EF"/>
    <w:rsid w:val="0003268C"/>
    <w:rsid w:val="0003280C"/>
    <w:rsid w:val="00032A0C"/>
    <w:rsid w:val="00033EB8"/>
    <w:rsid w:val="00034882"/>
    <w:rsid w:val="000349B7"/>
    <w:rsid w:val="0003540B"/>
    <w:rsid w:val="00035574"/>
    <w:rsid w:val="00036199"/>
    <w:rsid w:val="000365A2"/>
    <w:rsid w:val="00036814"/>
    <w:rsid w:val="0003698E"/>
    <w:rsid w:val="00036C45"/>
    <w:rsid w:val="00036FA7"/>
    <w:rsid w:val="000370B4"/>
    <w:rsid w:val="0003723F"/>
    <w:rsid w:val="000372BF"/>
    <w:rsid w:val="000377E3"/>
    <w:rsid w:val="000378AE"/>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BFC"/>
    <w:rsid w:val="000430CF"/>
    <w:rsid w:val="00043266"/>
    <w:rsid w:val="00043407"/>
    <w:rsid w:val="00043703"/>
    <w:rsid w:val="00044225"/>
    <w:rsid w:val="000442BC"/>
    <w:rsid w:val="00044576"/>
    <w:rsid w:val="00044872"/>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88A"/>
    <w:rsid w:val="00053A47"/>
    <w:rsid w:val="00053ABB"/>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118"/>
    <w:rsid w:val="00060586"/>
    <w:rsid w:val="0006090A"/>
    <w:rsid w:val="00060F92"/>
    <w:rsid w:val="00060FDB"/>
    <w:rsid w:val="000612C5"/>
    <w:rsid w:val="000613C1"/>
    <w:rsid w:val="000616E1"/>
    <w:rsid w:val="0006173B"/>
    <w:rsid w:val="00061BDC"/>
    <w:rsid w:val="00061D2A"/>
    <w:rsid w:val="000621A9"/>
    <w:rsid w:val="0006263A"/>
    <w:rsid w:val="00062A40"/>
    <w:rsid w:val="00062D9A"/>
    <w:rsid w:val="000630FB"/>
    <w:rsid w:val="000631CE"/>
    <w:rsid w:val="00063485"/>
    <w:rsid w:val="00063D36"/>
    <w:rsid w:val="00063F57"/>
    <w:rsid w:val="0006480B"/>
    <w:rsid w:val="0006482A"/>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603"/>
    <w:rsid w:val="00072A48"/>
    <w:rsid w:val="00072C66"/>
    <w:rsid w:val="00072E75"/>
    <w:rsid w:val="00072EFA"/>
    <w:rsid w:val="00072FF7"/>
    <w:rsid w:val="0007337F"/>
    <w:rsid w:val="0007368E"/>
    <w:rsid w:val="00073785"/>
    <w:rsid w:val="00073974"/>
    <w:rsid w:val="00073F5E"/>
    <w:rsid w:val="000741B3"/>
    <w:rsid w:val="00074375"/>
    <w:rsid w:val="000743A0"/>
    <w:rsid w:val="00074A9E"/>
    <w:rsid w:val="00074BF5"/>
    <w:rsid w:val="0007528C"/>
    <w:rsid w:val="000752CD"/>
    <w:rsid w:val="00075680"/>
    <w:rsid w:val="000756A2"/>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08A"/>
    <w:rsid w:val="00085239"/>
    <w:rsid w:val="000855A3"/>
    <w:rsid w:val="00085A9C"/>
    <w:rsid w:val="00085F08"/>
    <w:rsid w:val="00085F15"/>
    <w:rsid w:val="00086210"/>
    <w:rsid w:val="000862BA"/>
    <w:rsid w:val="000862F6"/>
    <w:rsid w:val="00086B50"/>
    <w:rsid w:val="00086C4D"/>
    <w:rsid w:val="00087462"/>
    <w:rsid w:val="0008760B"/>
    <w:rsid w:val="0008782D"/>
    <w:rsid w:val="00087E29"/>
    <w:rsid w:val="0009037D"/>
    <w:rsid w:val="00090394"/>
    <w:rsid w:val="00090573"/>
    <w:rsid w:val="00090779"/>
    <w:rsid w:val="00091A5A"/>
    <w:rsid w:val="00091ADD"/>
    <w:rsid w:val="00091BF8"/>
    <w:rsid w:val="00091C9C"/>
    <w:rsid w:val="000921E3"/>
    <w:rsid w:val="00092A3D"/>
    <w:rsid w:val="000931C3"/>
    <w:rsid w:val="00093566"/>
    <w:rsid w:val="00093F75"/>
    <w:rsid w:val="0009437A"/>
    <w:rsid w:val="000947B7"/>
    <w:rsid w:val="00094E5F"/>
    <w:rsid w:val="0009512D"/>
    <w:rsid w:val="00095468"/>
    <w:rsid w:val="000954C6"/>
    <w:rsid w:val="00095671"/>
    <w:rsid w:val="000956BC"/>
    <w:rsid w:val="000957FF"/>
    <w:rsid w:val="00095920"/>
    <w:rsid w:val="00095F0A"/>
    <w:rsid w:val="00095F53"/>
    <w:rsid w:val="0009653B"/>
    <w:rsid w:val="000968D8"/>
    <w:rsid w:val="00096A6A"/>
    <w:rsid w:val="0009709B"/>
    <w:rsid w:val="000970D0"/>
    <w:rsid w:val="0009720E"/>
    <w:rsid w:val="00097297"/>
    <w:rsid w:val="000979F0"/>
    <w:rsid w:val="00097AE8"/>
    <w:rsid w:val="000A02DC"/>
    <w:rsid w:val="000A09A2"/>
    <w:rsid w:val="000A0CA1"/>
    <w:rsid w:val="000A0E99"/>
    <w:rsid w:val="000A153E"/>
    <w:rsid w:val="000A1AD3"/>
    <w:rsid w:val="000A1D49"/>
    <w:rsid w:val="000A23E5"/>
    <w:rsid w:val="000A2438"/>
    <w:rsid w:val="000A26E4"/>
    <w:rsid w:val="000A2D70"/>
    <w:rsid w:val="000A31F7"/>
    <w:rsid w:val="000A3ACB"/>
    <w:rsid w:val="000A3BF6"/>
    <w:rsid w:val="000A3C82"/>
    <w:rsid w:val="000A40BA"/>
    <w:rsid w:val="000A49DE"/>
    <w:rsid w:val="000A4B74"/>
    <w:rsid w:val="000A4FEA"/>
    <w:rsid w:val="000A52F5"/>
    <w:rsid w:val="000A54DF"/>
    <w:rsid w:val="000A61CB"/>
    <w:rsid w:val="000A6252"/>
    <w:rsid w:val="000A64D8"/>
    <w:rsid w:val="000A6723"/>
    <w:rsid w:val="000A6783"/>
    <w:rsid w:val="000A6788"/>
    <w:rsid w:val="000A68A9"/>
    <w:rsid w:val="000A6AC6"/>
    <w:rsid w:val="000A6CFE"/>
    <w:rsid w:val="000A6F12"/>
    <w:rsid w:val="000A71D0"/>
    <w:rsid w:val="000A7B18"/>
    <w:rsid w:val="000A7C88"/>
    <w:rsid w:val="000B02C2"/>
    <w:rsid w:val="000B0546"/>
    <w:rsid w:val="000B081C"/>
    <w:rsid w:val="000B09AC"/>
    <w:rsid w:val="000B0E8D"/>
    <w:rsid w:val="000B10AB"/>
    <w:rsid w:val="000B10E2"/>
    <w:rsid w:val="000B130E"/>
    <w:rsid w:val="000B18FB"/>
    <w:rsid w:val="000B19F8"/>
    <w:rsid w:val="000B1CD3"/>
    <w:rsid w:val="000B256B"/>
    <w:rsid w:val="000B32D4"/>
    <w:rsid w:val="000B3838"/>
    <w:rsid w:val="000B38DA"/>
    <w:rsid w:val="000B3C3B"/>
    <w:rsid w:val="000B3F37"/>
    <w:rsid w:val="000B4788"/>
    <w:rsid w:val="000B49D7"/>
    <w:rsid w:val="000B546F"/>
    <w:rsid w:val="000B55FD"/>
    <w:rsid w:val="000B5E13"/>
    <w:rsid w:val="000B6030"/>
    <w:rsid w:val="000B63BC"/>
    <w:rsid w:val="000B6536"/>
    <w:rsid w:val="000B65BE"/>
    <w:rsid w:val="000B6BDF"/>
    <w:rsid w:val="000B71B6"/>
    <w:rsid w:val="000B71CB"/>
    <w:rsid w:val="000B7B2B"/>
    <w:rsid w:val="000B7D5E"/>
    <w:rsid w:val="000C067B"/>
    <w:rsid w:val="000C133A"/>
    <w:rsid w:val="000C1545"/>
    <w:rsid w:val="000C1DBD"/>
    <w:rsid w:val="000C2052"/>
    <w:rsid w:val="000C22A8"/>
    <w:rsid w:val="000C240A"/>
    <w:rsid w:val="000C2DE1"/>
    <w:rsid w:val="000C2E7E"/>
    <w:rsid w:val="000C3357"/>
    <w:rsid w:val="000C393F"/>
    <w:rsid w:val="000C3FE9"/>
    <w:rsid w:val="000C4065"/>
    <w:rsid w:val="000C4137"/>
    <w:rsid w:val="000C4493"/>
    <w:rsid w:val="000C4538"/>
    <w:rsid w:val="000C46D8"/>
    <w:rsid w:val="000C4C76"/>
    <w:rsid w:val="000C4F73"/>
    <w:rsid w:val="000C5759"/>
    <w:rsid w:val="000C5DD1"/>
    <w:rsid w:val="000C5E7D"/>
    <w:rsid w:val="000C673C"/>
    <w:rsid w:val="000C69F8"/>
    <w:rsid w:val="000C6A01"/>
    <w:rsid w:val="000C6C3F"/>
    <w:rsid w:val="000C71D9"/>
    <w:rsid w:val="000C737F"/>
    <w:rsid w:val="000D0153"/>
    <w:rsid w:val="000D037E"/>
    <w:rsid w:val="000D08CF"/>
    <w:rsid w:val="000D0A0F"/>
    <w:rsid w:val="000D0AB8"/>
    <w:rsid w:val="000D0B71"/>
    <w:rsid w:val="000D0BCC"/>
    <w:rsid w:val="000D0CC6"/>
    <w:rsid w:val="000D0F9A"/>
    <w:rsid w:val="000D10A8"/>
    <w:rsid w:val="000D148D"/>
    <w:rsid w:val="000D14EB"/>
    <w:rsid w:val="000D1610"/>
    <w:rsid w:val="000D1D3F"/>
    <w:rsid w:val="000D206C"/>
    <w:rsid w:val="000D2185"/>
    <w:rsid w:val="000D2AE0"/>
    <w:rsid w:val="000D2CDA"/>
    <w:rsid w:val="000D34AC"/>
    <w:rsid w:val="000D362A"/>
    <w:rsid w:val="000D36AC"/>
    <w:rsid w:val="000D37FA"/>
    <w:rsid w:val="000D389E"/>
    <w:rsid w:val="000D3F8F"/>
    <w:rsid w:val="000D42B0"/>
    <w:rsid w:val="000D4324"/>
    <w:rsid w:val="000D46D6"/>
    <w:rsid w:val="000D46EE"/>
    <w:rsid w:val="000D4896"/>
    <w:rsid w:val="000D4DE6"/>
    <w:rsid w:val="000D5158"/>
    <w:rsid w:val="000D55EA"/>
    <w:rsid w:val="000D5965"/>
    <w:rsid w:val="000D59D6"/>
    <w:rsid w:val="000D5AB0"/>
    <w:rsid w:val="000D5AD1"/>
    <w:rsid w:val="000D5BC0"/>
    <w:rsid w:val="000D5E4D"/>
    <w:rsid w:val="000D6589"/>
    <w:rsid w:val="000D6E27"/>
    <w:rsid w:val="000D6E96"/>
    <w:rsid w:val="000D7268"/>
    <w:rsid w:val="000D7783"/>
    <w:rsid w:val="000E011D"/>
    <w:rsid w:val="000E03CF"/>
    <w:rsid w:val="000E0D89"/>
    <w:rsid w:val="000E0E37"/>
    <w:rsid w:val="000E1003"/>
    <w:rsid w:val="000E14B9"/>
    <w:rsid w:val="000E182B"/>
    <w:rsid w:val="000E1E8E"/>
    <w:rsid w:val="000E22A7"/>
    <w:rsid w:val="000E2612"/>
    <w:rsid w:val="000E2787"/>
    <w:rsid w:val="000E279B"/>
    <w:rsid w:val="000E2D36"/>
    <w:rsid w:val="000E3075"/>
    <w:rsid w:val="000E331F"/>
    <w:rsid w:val="000E3358"/>
    <w:rsid w:val="000E363B"/>
    <w:rsid w:val="000E38ED"/>
    <w:rsid w:val="000E3F84"/>
    <w:rsid w:val="000E40C3"/>
    <w:rsid w:val="000E41CA"/>
    <w:rsid w:val="000E4C9B"/>
    <w:rsid w:val="000E4D01"/>
    <w:rsid w:val="000E502E"/>
    <w:rsid w:val="000E5830"/>
    <w:rsid w:val="000E5C46"/>
    <w:rsid w:val="000E5C4E"/>
    <w:rsid w:val="000E5CA5"/>
    <w:rsid w:val="000E5E3A"/>
    <w:rsid w:val="000E6576"/>
    <w:rsid w:val="000E65A7"/>
    <w:rsid w:val="000E6635"/>
    <w:rsid w:val="000E6BAF"/>
    <w:rsid w:val="000E6EED"/>
    <w:rsid w:val="000E6F62"/>
    <w:rsid w:val="000E72EA"/>
    <w:rsid w:val="000E7F51"/>
    <w:rsid w:val="000F00D8"/>
    <w:rsid w:val="000F095B"/>
    <w:rsid w:val="000F0B56"/>
    <w:rsid w:val="000F13C4"/>
    <w:rsid w:val="000F13D7"/>
    <w:rsid w:val="000F17E4"/>
    <w:rsid w:val="000F1878"/>
    <w:rsid w:val="000F1A06"/>
    <w:rsid w:val="000F1CF3"/>
    <w:rsid w:val="000F1F98"/>
    <w:rsid w:val="000F20CD"/>
    <w:rsid w:val="000F2414"/>
    <w:rsid w:val="000F2965"/>
    <w:rsid w:val="000F34C7"/>
    <w:rsid w:val="000F3B40"/>
    <w:rsid w:val="000F3F2F"/>
    <w:rsid w:val="000F42EA"/>
    <w:rsid w:val="000F4A99"/>
    <w:rsid w:val="000F4C0A"/>
    <w:rsid w:val="000F4CAF"/>
    <w:rsid w:val="000F4D2F"/>
    <w:rsid w:val="000F4F44"/>
    <w:rsid w:val="000F53CB"/>
    <w:rsid w:val="000F6799"/>
    <w:rsid w:val="000F6881"/>
    <w:rsid w:val="000F6C32"/>
    <w:rsid w:val="000F6CB0"/>
    <w:rsid w:val="000F6D86"/>
    <w:rsid w:val="000F7CAD"/>
    <w:rsid w:val="00100097"/>
    <w:rsid w:val="001000E9"/>
    <w:rsid w:val="00100161"/>
    <w:rsid w:val="00100169"/>
    <w:rsid w:val="00100638"/>
    <w:rsid w:val="0010067A"/>
    <w:rsid w:val="001007A8"/>
    <w:rsid w:val="001009BB"/>
    <w:rsid w:val="00100E73"/>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ECB"/>
    <w:rsid w:val="00104058"/>
    <w:rsid w:val="0010405D"/>
    <w:rsid w:val="00104228"/>
    <w:rsid w:val="00104761"/>
    <w:rsid w:val="00104979"/>
    <w:rsid w:val="00104A80"/>
    <w:rsid w:val="001050B7"/>
    <w:rsid w:val="001050F9"/>
    <w:rsid w:val="0010521E"/>
    <w:rsid w:val="0010568A"/>
    <w:rsid w:val="001056C5"/>
    <w:rsid w:val="00105820"/>
    <w:rsid w:val="00105CEE"/>
    <w:rsid w:val="00105DA1"/>
    <w:rsid w:val="00105EFB"/>
    <w:rsid w:val="0010660E"/>
    <w:rsid w:val="00106A95"/>
    <w:rsid w:val="00106CC3"/>
    <w:rsid w:val="00106E61"/>
    <w:rsid w:val="00106E7E"/>
    <w:rsid w:val="00106FF1"/>
    <w:rsid w:val="00107423"/>
    <w:rsid w:val="0010795D"/>
    <w:rsid w:val="0011034F"/>
    <w:rsid w:val="0011036F"/>
    <w:rsid w:val="00110570"/>
    <w:rsid w:val="00110851"/>
    <w:rsid w:val="0011092B"/>
    <w:rsid w:val="001115C0"/>
    <w:rsid w:val="001115F4"/>
    <w:rsid w:val="001116D2"/>
    <w:rsid w:val="0011190B"/>
    <w:rsid w:val="00111AD9"/>
    <w:rsid w:val="0011211D"/>
    <w:rsid w:val="0011230B"/>
    <w:rsid w:val="001126ED"/>
    <w:rsid w:val="00112975"/>
    <w:rsid w:val="001129AB"/>
    <w:rsid w:val="00112B8F"/>
    <w:rsid w:val="00112F06"/>
    <w:rsid w:val="001134DA"/>
    <w:rsid w:val="0011372B"/>
    <w:rsid w:val="00113D8F"/>
    <w:rsid w:val="001140FA"/>
    <w:rsid w:val="001141CF"/>
    <w:rsid w:val="00114353"/>
    <w:rsid w:val="00114379"/>
    <w:rsid w:val="001146A3"/>
    <w:rsid w:val="001146C6"/>
    <w:rsid w:val="001147B8"/>
    <w:rsid w:val="00114949"/>
    <w:rsid w:val="00114A78"/>
    <w:rsid w:val="00114E61"/>
    <w:rsid w:val="00114EA7"/>
    <w:rsid w:val="00114FB0"/>
    <w:rsid w:val="0011536C"/>
    <w:rsid w:val="00115617"/>
    <w:rsid w:val="00115716"/>
    <w:rsid w:val="0011584C"/>
    <w:rsid w:val="001158D5"/>
    <w:rsid w:val="00115D44"/>
    <w:rsid w:val="0011602A"/>
    <w:rsid w:val="001161A0"/>
    <w:rsid w:val="00116339"/>
    <w:rsid w:val="00116A2D"/>
    <w:rsid w:val="001175EF"/>
    <w:rsid w:val="00117677"/>
    <w:rsid w:val="00117957"/>
    <w:rsid w:val="00117A90"/>
    <w:rsid w:val="00117C78"/>
    <w:rsid w:val="001201EA"/>
    <w:rsid w:val="001203DB"/>
    <w:rsid w:val="0012079F"/>
    <w:rsid w:val="001207F3"/>
    <w:rsid w:val="00120C13"/>
    <w:rsid w:val="00121769"/>
    <w:rsid w:val="00121E1A"/>
    <w:rsid w:val="001224F5"/>
    <w:rsid w:val="00122727"/>
    <w:rsid w:val="00122842"/>
    <w:rsid w:val="001232D2"/>
    <w:rsid w:val="0012345C"/>
    <w:rsid w:val="00123486"/>
    <w:rsid w:val="001238B8"/>
    <w:rsid w:val="00123975"/>
    <w:rsid w:val="00123DED"/>
    <w:rsid w:val="00124349"/>
    <w:rsid w:val="001244C2"/>
    <w:rsid w:val="0012467D"/>
    <w:rsid w:val="001246EC"/>
    <w:rsid w:val="0012498C"/>
    <w:rsid w:val="001249D7"/>
    <w:rsid w:val="001249FC"/>
    <w:rsid w:val="00124E10"/>
    <w:rsid w:val="00124FEA"/>
    <w:rsid w:val="00125078"/>
    <w:rsid w:val="0012523E"/>
    <w:rsid w:val="001252FE"/>
    <w:rsid w:val="001255A6"/>
    <w:rsid w:val="00125D34"/>
    <w:rsid w:val="0012636D"/>
    <w:rsid w:val="0012636F"/>
    <w:rsid w:val="001268D1"/>
    <w:rsid w:val="001274AC"/>
    <w:rsid w:val="001275E6"/>
    <w:rsid w:val="00127DE2"/>
    <w:rsid w:val="00127F28"/>
    <w:rsid w:val="0013016D"/>
    <w:rsid w:val="00130714"/>
    <w:rsid w:val="00130953"/>
    <w:rsid w:val="00130BBD"/>
    <w:rsid w:val="001310E0"/>
    <w:rsid w:val="00131591"/>
    <w:rsid w:val="00131683"/>
    <w:rsid w:val="0013177A"/>
    <w:rsid w:val="00131A50"/>
    <w:rsid w:val="00131AC6"/>
    <w:rsid w:val="001321CE"/>
    <w:rsid w:val="001322B0"/>
    <w:rsid w:val="00132671"/>
    <w:rsid w:val="00132767"/>
    <w:rsid w:val="00132917"/>
    <w:rsid w:val="00132B5A"/>
    <w:rsid w:val="00132E89"/>
    <w:rsid w:val="0013327F"/>
    <w:rsid w:val="0013334C"/>
    <w:rsid w:val="00133EBD"/>
    <w:rsid w:val="00134953"/>
    <w:rsid w:val="00135015"/>
    <w:rsid w:val="00135095"/>
    <w:rsid w:val="00135517"/>
    <w:rsid w:val="00135737"/>
    <w:rsid w:val="00135829"/>
    <w:rsid w:val="00135884"/>
    <w:rsid w:val="001358A7"/>
    <w:rsid w:val="001358F4"/>
    <w:rsid w:val="0013612A"/>
    <w:rsid w:val="00136998"/>
    <w:rsid w:val="00136AAD"/>
    <w:rsid w:val="00136EED"/>
    <w:rsid w:val="00137109"/>
    <w:rsid w:val="00137280"/>
    <w:rsid w:val="00137288"/>
    <w:rsid w:val="00137480"/>
    <w:rsid w:val="001375B9"/>
    <w:rsid w:val="001376F7"/>
    <w:rsid w:val="00137EA0"/>
    <w:rsid w:val="00137ECF"/>
    <w:rsid w:val="00140608"/>
    <w:rsid w:val="0014073C"/>
    <w:rsid w:val="00140762"/>
    <w:rsid w:val="00140825"/>
    <w:rsid w:val="0014086C"/>
    <w:rsid w:val="00140E5E"/>
    <w:rsid w:val="0014104A"/>
    <w:rsid w:val="001410AA"/>
    <w:rsid w:val="001410F1"/>
    <w:rsid w:val="001415E2"/>
    <w:rsid w:val="001418FE"/>
    <w:rsid w:val="00141B0A"/>
    <w:rsid w:val="00141E46"/>
    <w:rsid w:val="00141ED1"/>
    <w:rsid w:val="00141F72"/>
    <w:rsid w:val="0014206B"/>
    <w:rsid w:val="00142093"/>
    <w:rsid w:val="0014228C"/>
    <w:rsid w:val="001426D3"/>
    <w:rsid w:val="00142E42"/>
    <w:rsid w:val="00142F73"/>
    <w:rsid w:val="00142FBC"/>
    <w:rsid w:val="00143153"/>
    <w:rsid w:val="0014371C"/>
    <w:rsid w:val="001437FC"/>
    <w:rsid w:val="00143EFE"/>
    <w:rsid w:val="00143FFE"/>
    <w:rsid w:val="00144134"/>
    <w:rsid w:val="0014471E"/>
    <w:rsid w:val="0014491B"/>
    <w:rsid w:val="00144B3F"/>
    <w:rsid w:val="00144D67"/>
    <w:rsid w:val="00144E04"/>
    <w:rsid w:val="001454C4"/>
    <w:rsid w:val="001462D7"/>
    <w:rsid w:val="00146577"/>
    <w:rsid w:val="00146773"/>
    <w:rsid w:val="00146813"/>
    <w:rsid w:val="0014703E"/>
    <w:rsid w:val="00147544"/>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CD4"/>
    <w:rsid w:val="00154DE7"/>
    <w:rsid w:val="00154F0D"/>
    <w:rsid w:val="00155178"/>
    <w:rsid w:val="0015554F"/>
    <w:rsid w:val="00155D53"/>
    <w:rsid w:val="0015622B"/>
    <w:rsid w:val="00156260"/>
    <w:rsid w:val="00156284"/>
    <w:rsid w:val="0015638B"/>
    <w:rsid w:val="00156502"/>
    <w:rsid w:val="00156615"/>
    <w:rsid w:val="00156D13"/>
    <w:rsid w:val="001575A7"/>
    <w:rsid w:val="00157C2C"/>
    <w:rsid w:val="0016019C"/>
    <w:rsid w:val="001601C7"/>
    <w:rsid w:val="001602C2"/>
    <w:rsid w:val="001603B9"/>
    <w:rsid w:val="00160452"/>
    <w:rsid w:val="00160674"/>
    <w:rsid w:val="00160786"/>
    <w:rsid w:val="00160B3D"/>
    <w:rsid w:val="00162262"/>
    <w:rsid w:val="001623A3"/>
    <w:rsid w:val="00162BD5"/>
    <w:rsid w:val="00162CF1"/>
    <w:rsid w:val="00162F82"/>
    <w:rsid w:val="001630E4"/>
    <w:rsid w:val="001632B7"/>
    <w:rsid w:val="0016368F"/>
    <w:rsid w:val="001639BC"/>
    <w:rsid w:val="00163AFC"/>
    <w:rsid w:val="00163C9A"/>
    <w:rsid w:val="00164646"/>
    <w:rsid w:val="001647FA"/>
    <w:rsid w:val="00164A74"/>
    <w:rsid w:val="00165137"/>
    <w:rsid w:val="001651F0"/>
    <w:rsid w:val="001652DD"/>
    <w:rsid w:val="00165A42"/>
    <w:rsid w:val="00165D2D"/>
    <w:rsid w:val="00165D9A"/>
    <w:rsid w:val="001661E2"/>
    <w:rsid w:val="0016634F"/>
    <w:rsid w:val="001665D2"/>
    <w:rsid w:val="00166809"/>
    <w:rsid w:val="00166879"/>
    <w:rsid w:val="001669F9"/>
    <w:rsid w:val="00166D9E"/>
    <w:rsid w:val="00166EE2"/>
    <w:rsid w:val="0016700E"/>
    <w:rsid w:val="00167125"/>
    <w:rsid w:val="0016733C"/>
    <w:rsid w:val="0016764C"/>
    <w:rsid w:val="00167ACD"/>
    <w:rsid w:val="00167D18"/>
    <w:rsid w:val="00167FC3"/>
    <w:rsid w:val="00170397"/>
    <w:rsid w:val="00170482"/>
    <w:rsid w:val="001706E4"/>
    <w:rsid w:val="001708D0"/>
    <w:rsid w:val="00170B23"/>
    <w:rsid w:val="00170E05"/>
    <w:rsid w:val="00170EA1"/>
    <w:rsid w:val="00171661"/>
    <w:rsid w:val="00171876"/>
    <w:rsid w:val="00171B5E"/>
    <w:rsid w:val="00171BC2"/>
    <w:rsid w:val="00171D7E"/>
    <w:rsid w:val="00171F14"/>
    <w:rsid w:val="00172261"/>
    <w:rsid w:val="001729E1"/>
    <w:rsid w:val="00172B61"/>
    <w:rsid w:val="00172C20"/>
    <w:rsid w:val="00173711"/>
    <w:rsid w:val="001738A5"/>
    <w:rsid w:val="00173A00"/>
    <w:rsid w:val="00173D38"/>
    <w:rsid w:val="00173ECF"/>
    <w:rsid w:val="001742A6"/>
    <w:rsid w:val="00174913"/>
    <w:rsid w:val="00174DDB"/>
    <w:rsid w:val="00174FFB"/>
    <w:rsid w:val="00175009"/>
    <w:rsid w:val="001752EC"/>
    <w:rsid w:val="0017557B"/>
    <w:rsid w:val="00175A6E"/>
    <w:rsid w:val="00175B5A"/>
    <w:rsid w:val="00175EF2"/>
    <w:rsid w:val="00176414"/>
    <w:rsid w:val="00176BDB"/>
    <w:rsid w:val="0017714C"/>
    <w:rsid w:val="0017722E"/>
    <w:rsid w:val="00177447"/>
    <w:rsid w:val="00177482"/>
    <w:rsid w:val="00177711"/>
    <w:rsid w:val="00177A0D"/>
    <w:rsid w:val="00177AC2"/>
    <w:rsid w:val="00177DFF"/>
    <w:rsid w:val="00177EBD"/>
    <w:rsid w:val="0018016C"/>
    <w:rsid w:val="001806A9"/>
    <w:rsid w:val="00180860"/>
    <w:rsid w:val="00180D96"/>
    <w:rsid w:val="00180E60"/>
    <w:rsid w:val="001817BA"/>
    <w:rsid w:val="00181AB0"/>
    <w:rsid w:val="00181ABE"/>
    <w:rsid w:val="00181B3A"/>
    <w:rsid w:val="00181E7C"/>
    <w:rsid w:val="001820B2"/>
    <w:rsid w:val="001821E9"/>
    <w:rsid w:val="0018246F"/>
    <w:rsid w:val="00182718"/>
    <w:rsid w:val="00182D06"/>
    <w:rsid w:val="00182FBF"/>
    <w:rsid w:val="001836DF"/>
    <w:rsid w:val="00183CB7"/>
    <w:rsid w:val="00183CC6"/>
    <w:rsid w:val="00183F11"/>
    <w:rsid w:val="001840F5"/>
    <w:rsid w:val="00184455"/>
    <w:rsid w:val="00184A29"/>
    <w:rsid w:val="00184DAB"/>
    <w:rsid w:val="00184E88"/>
    <w:rsid w:val="00184F51"/>
    <w:rsid w:val="00185257"/>
    <w:rsid w:val="001859ED"/>
    <w:rsid w:val="00185E59"/>
    <w:rsid w:val="00185F10"/>
    <w:rsid w:val="00185FDA"/>
    <w:rsid w:val="00186395"/>
    <w:rsid w:val="001863BA"/>
    <w:rsid w:val="001863E3"/>
    <w:rsid w:val="0018695F"/>
    <w:rsid w:val="00186B4D"/>
    <w:rsid w:val="00186B55"/>
    <w:rsid w:val="00187540"/>
    <w:rsid w:val="0018767B"/>
    <w:rsid w:val="001902B8"/>
    <w:rsid w:val="0019059B"/>
    <w:rsid w:val="001908C5"/>
    <w:rsid w:val="00190927"/>
    <w:rsid w:val="001909DC"/>
    <w:rsid w:val="00190BD5"/>
    <w:rsid w:val="00190C5A"/>
    <w:rsid w:val="00190D28"/>
    <w:rsid w:val="00190D8F"/>
    <w:rsid w:val="00191727"/>
    <w:rsid w:val="00191EBF"/>
    <w:rsid w:val="001921F7"/>
    <w:rsid w:val="00192338"/>
    <w:rsid w:val="00192589"/>
    <w:rsid w:val="001925E5"/>
    <w:rsid w:val="001929F7"/>
    <w:rsid w:val="00193924"/>
    <w:rsid w:val="00193987"/>
    <w:rsid w:val="00193EEE"/>
    <w:rsid w:val="00194955"/>
    <w:rsid w:val="00195657"/>
    <w:rsid w:val="0019573B"/>
    <w:rsid w:val="0019592C"/>
    <w:rsid w:val="00196085"/>
    <w:rsid w:val="00196935"/>
    <w:rsid w:val="00196B90"/>
    <w:rsid w:val="00196DE8"/>
    <w:rsid w:val="00196FF4"/>
    <w:rsid w:val="0019734F"/>
    <w:rsid w:val="001A0303"/>
    <w:rsid w:val="001A0313"/>
    <w:rsid w:val="001A0676"/>
    <w:rsid w:val="001A067A"/>
    <w:rsid w:val="001A06C8"/>
    <w:rsid w:val="001A12AD"/>
    <w:rsid w:val="001A1337"/>
    <w:rsid w:val="001A1750"/>
    <w:rsid w:val="001A1798"/>
    <w:rsid w:val="001A2828"/>
    <w:rsid w:val="001A2939"/>
    <w:rsid w:val="001A2F35"/>
    <w:rsid w:val="001A2FD5"/>
    <w:rsid w:val="001A3037"/>
    <w:rsid w:val="001A30FB"/>
    <w:rsid w:val="001A36CF"/>
    <w:rsid w:val="001A3974"/>
    <w:rsid w:val="001A3BBA"/>
    <w:rsid w:val="001A3F0F"/>
    <w:rsid w:val="001A3F5E"/>
    <w:rsid w:val="001A3FA5"/>
    <w:rsid w:val="001A3FC2"/>
    <w:rsid w:val="001A4EDF"/>
    <w:rsid w:val="001A5308"/>
    <w:rsid w:val="001A6164"/>
    <w:rsid w:val="001A61A0"/>
    <w:rsid w:val="001A6AFE"/>
    <w:rsid w:val="001A6D44"/>
    <w:rsid w:val="001A6E27"/>
    <w:rsid w:val="001A706D"/>
    <w:rsid w:val="001A71EB"/>
    <w:rsid w:val="001A7233"/>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3B"/>
    <w:rsid w:val="001B54E9"/>
    <w:rsid w:val="001B55DE"/>
    <w:rsid w:val="001B5941"/>
    <w:rsid w:val="001B5A34"/>
    <w:rsid w:val="001B5D54"/>
    <w:rsid w:val="001B5DBA"/>
    <w:rsid w:val="001B70CF"/>
    <w:rsid w:val="001B748B"/>
    <w:rsid w:val="001B768B"/>
    <w:rsid w:val="001B7884"/>
    <w:rsid w:val="001B7905"/>
    <w:rsid w:val="001C0085"/>
    <w:rsid w:val="001C03D5"/>
    <w:rsid w:val="001C063F"/>
    <w:rsid w:val="001C0874"/>
    <w:rsid w:val="001C0883"/>
    <w:rsid w:val="001C0FF5"/>
    <w:rsid w:val="001C12A0"/>
    <w:rsid w:val="001C16A9"/>
    <w:rsid w:val="001C18B5"/>
    <w:rsid w:val="001C1919"/>
    <w:rsid w:val="001C19EB"/>
    <w:rsid w:val="001C1E53"/>
    <w:rsid w:val="001C211D"/>
    <w:rsid w:val="001C22B1"/>
    <w:rsid w:val="001C2A8B"/>
    <w:rsid w:val="001C2E9F"/>
    <w:rsid w:val="001C3434"/>
    <w:rsid w:val="001C3474"/>
    <w:rsid w:val="001C3DC6"/>
    <w:rsid w:val="001C3E02"/>
    <w:rsid w:val="001C456B"/>
    <w:rsid w:val="001C4A39"/>
    <w:rsid w:val="001C4F5F"/>
    <w:rsid w:val="001C54B8"/>
    <w:rsid w:val="001C589B"/>
    <w:rsid w:val="001C58A6"/>
    <w:rsid w:val="001C5BC8"/>
    <w:rsid w:val="001C5DBB"/>
    <w:rsid w:val="001C5F88"/>
    <w:rsid w:val="001C60F0"/>
    <w:rsid w:val="001C6182"/>
    <w:rsid w:val="001C619C"/>
    <w:rsid w:val="001C639F"/>
    <w:rsid w:val="001C66D2"/>
    <w:rsid w:val="001C6D44"/>
    <w:rsid w:val="001C7426"/>
    <w:rsid w:val="001C75DC"/>
    <w:rsid w:val="001C7F47"/>
    <w:rsid w:val="001D006C"/>
    <w:rsid w:val="001D00D0"/>
    <w:rsid w:val="001D056C"/>
    <w:rsid w:val="001D0578"/>
    <w:rsid w:val="001D0593"/>
    <w:rsid w:val="001D1258"/>
    <w:rsid w:val="001D19F8"/>
    <w:rsid w:val="001D1CFF"/>
    <w:rsid w:val="001D1E1F"/>
    <w:rsid w:val="001D2298"/>
    <w:rsid w:val="001D23A3"/>
    <w:rsid w:val="001D2B3C"/>
    <w:rsid w:val="001D2E6C"/>
    <w:rsid w:val="001D2F8F"/>
    <w:rsid w:val="001D3037"/>
    <w:rsid w:val="001D3098"/>
    <w:rsid w:val="001D30D4"/>
    <w:rsid w:val="001D35DC"/>
    <w:rsid w:val="001D3901"/>
    <w:rsid w:val="001D43C0"/>
    <w:rsid w:val="001D448E"/>
    <w:rsid w:val="001D4969"/>
    <w:rsid w:val="001D4AF0"/>
    <w:rsid w:val="001D4F24"/>
    <w:rsid w:val="001D506F"/>
    <w:rsid w:val="001D5112"/>
    <w:rsid w:val="001D57BC"/>
    <w:rsid w:val="001D601E"/>
    <w:rsid w:val="001D65DA"/>
    <w:rsid w:val="001D6C9D"/>
    <w:rsid w:val="001D6E61"/>
    <w:rsid w:val="001D6F30"/>
    <w:rsid w:val="001D7260"/>
    <w:rsid w:val="001D72B1"/>
    <w:rsid w:val="001D7816"/>
    <w:rsid w:val="001D7ADE"/>
    <w:rsid w:val="001D7B96"/>
    <w:rsid w:val="001D7FE2"/>
    <w:rsid w:val="001E09F4"/>
    <w:rsid w:val="001E0A54"/>
    <w:rsid w:val="001E0A73"/>
    <w:rsid w:val="001E0E3C"/>
    <w:rsid w:val="001E111F"/>
    <w:rsid w:val="001E1284"/>
    <w:rsid w:val="001E1392"/>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2D6"/>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16E"/>
    <w:rsid w:val="001F419E"/>
    <w:rsid w:val="001F45E8"/>
    <w:rsid w:val="001F4E57"/>
    <w:rsid w:val="001F4FE7"/>
    <w:rsid w:val="001F53A2"/>
    <w:rsid w:val="001F5C05"/>
    <w:rsid w:val="001F5C95"/>
    <w:rsid w:val="001F5C9E"/>
    <w:rsid w:val="001F5E73"/>
    <w:rsid w:val="001F5ED8"/>
    <w:rsid w:val="001F5F10"/>
    <w:rsid w:val="001F644E"/>
    <w:rsid w:val="001F676A"/>
    <w:rsid w:val="001F6889"/>
    <w:rsid w:val="001F6E45"/>
    <w:rsid w:val="001F72EA"/>
    <w:rsid w:val="001F7317"/>
    <w:rsid w:val="001F798D"/>
    <w:rsid w:val="001F7DD6"/>
    <w:rsid w:val="002000F2"/>
    <w:rsid w:val="002000FC"/>
    <w:rsid w:val="002005EF"/>
    <w:rsid w:val="0020085F"/>
    <w:rsid w:val="0020087C"/>
    <w:rsid w:val="00200920"/>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23B"/>
    <w:rsid w:val="002047DE"/>
    <w:rsid w:val="00204981"/>
    <w:rsid w:val="00204A5A"/>
    <w:rsid w:val="00204C12"/>
    <w:rsid w:val="00205543"/>
    <w:rsid w:val="00205635"/>
    <w:rsid w:val="002059A3"/>
    <w:rsid w:val="00205A84"/>
    <w:rsid w:val="00205AB2"/>
    <w:rsid w:val="00205CB2"/>
    <w:rsid w:val="00205D98"/>
    <w:rsid w:val="0020610B"/>
    <w:rsid w:val="002063A7"/>
    <w:rsid w:val="0020671A"/>
    <w:rsid w:val="0020674D"/>
    <w:rsid w:val="00206BF6"/>
    <w:rsid w:val="00206E5A"/>
    <w:rsid w:val="00207613"/>
    <w:rsid w:val="00207847"/>
    <w:rsid w:val="00207A74"/>
    <w:rsid w:val="00207AF9"/>
    <w:rsid w:val="00207BB9"/>
    <w:rsid w:val="00207C55"/>
    <w:rsid w:val="00207EB6"/>
    <w:rsid w:val="00210174"/>
    <w:rsid w:val="0021065B"/>
    <w:rsid w:val="002109D5"/>
    <w:rsid w:val="00210A2E"/>
    <w:rsid w:val="00210B05"/>
    <w:rsid w:val="00210C84"/>
    <w:rsid w:val="00210C91"/>
    <w:rsid w:val="00210F18"/>
    <w:rsid w:val="00210F42"/>
    <w:rsid w:val="00211042"/>
    <w:rsid w:val="00211345"/>
    <w:rsid w:val="002114FA"/>
    <w:rsid w:val="00211CC9"/>
    <w:rsid w:val="00211D31"/>
    <w:rsid w:val="00211DD9"/>
    <w:rsid w:val="002123ED"/>
    <w:rsid w:val="00212816"/>
    <w:rsid w:val="002130BD"/>
    <w:rsid w:val="00213851"/>
    <w:rsid w:val="002146C7"/>
    <w:rsid w:val="00214D12"/>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7"/>
    <w:rsid w:val="002208BE"/>
    <w:rsid w:val="0022091D"/>
    <w:rsid w:val="00220CFE"/>
    <w:rsid w:val="00220E92"/>
    <w:rsid w:val="00221022"/>
    <w:rsid w:val="0022135D"/>
    <w:rsid w:val="0022175D"/>
    <w:rsid w:val="00221A25"/>
    <w:rsid w:val="00222052"/>
    <w:rsid w:val="002222A4"/>
    <w:rsid w:val="00222AB8"/>
    <w:rsid w:val="00222B25"/>
    <w:rsid w:val="00222FE7"/>
    <w:rsid w:val="00223833"/>
    <w:rsid w:val="00223847"/>
    <w:rsid w:val="00223ACD"/>
    <w:rsid w:val="00224019"/>
    <w:rsid w:val="002247A9"/>
    <w:rsid w:val="00224A38"/>
    <w:rsid w:val="00224A9B"/>
    <w:rsid w:val="002262AA"/>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31"/>
    <w:rsid w:val="0023287C"/>
    <w:rsid w:val="00232895"/>
    <w:rsid w:val="00232A7C"/>
    <w:rsid w:val="00232E9D"/>
    <w:rsid w:val="0023324F"/>
    <w:rsid w:val="002336A0"/>
    <w:rsid w:val="002344C8"/>
    <w:rsid w:val="002349C5"/>
    <w:rsid w:val="002349C8"/>
    <w:rsid w:val="00234AE9"/>
    <w:rsid w:val="00234B73"/>
    <w:rsid w:val="00234CBE"/>
    <w:rsid w:val="00234D8C"/>
    <w:rsid w:val="00234D94"/>
    <w:rsid w:val="002352E8"/>
    <w:rsid w:val="00235581"/>
    <w:rsid w:val="00235698"/>
    <w:rsid w:val="002361C8"/>
    <w:rsid w:val="00236B8F"/>
    <w:rsid w:val="00236F71"/>
    <w:rsid w:val="00237143"/>
    <w:rsid w:val="002373FC"/>
    <w:rsid w:val="00237C6F"/>
    <w:rsid w:val="00237D22"/>
    <w:rsid w:val="0024029F"/>
    <w:rsid w:val="00240487"/>
    <w:rsid w:val="00240956"/>
    <w:rsid w:val="00240B7D"/>
    <w:rsid w:val="00240C63"/>
    <w:rsid w:val="00240F65"/>
    <w:rsid w:val="0024103F"/>
    <w:rsid w:val="00241701"/>
    <w:rsid w:val="00241C7B"/>
    <w:rsid w:val="00241D6D"/>
    <w:rsid w:val="002421F2"/>
    <w:rsid w:val="002427AF"/>
    <w:rsid w:val="0024284B"/>
    <w:rsid w:val="0024286B"/>
    <w:rsid w:val="00242B2A"/>
    <w:rsid w:val="00242CAE"/>
    <w:rsid w:val="00243ACD"/>
    <w:rsid w:val="00243B7F"/>
    <w:rsid w:val="00243FCB"/>
    <w:rsid w:val="0024445A"/>
    <w:rsid w:val="00244606"/>
    <w:rsid w:val="00244924"/>
    <w:rsid w:val="002449F4"/>
    <w:rsid w:val="00244B06"/>
    <w:rsid w:val="00245115"/>
    <w:rsid w:val="0024514D"/>
    <w:rsid w:val="00245167"/>
    <w:rsid w:val="0024520E"/>
    <w:rsid w:val="0024530E"/>
    <w:rsid w:val="00245492"/>
    <w:rsid w:val="00245A41"/>
    <w:rsid w:val="00245AF4"/>
    <w:rsid w:val="00245B70"/>
    <w:rsid w:val="00245D7D"/>
    <w:rsid w:val="00245E39"/>
    <w:rsid w:val="00245E49"/>
    <w:rsid w:val="00245FBA"/>
    <w:rsid w:val="00245FDB"/>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72"/>
    <w:rsid w:val="002530D6"/>
    <w:rsid w:val="002530D9"/>
    <w:rsid w:val="0025325D"/>
    <w:rsid w:val="002533FF"/>
    <w:rsid w:val="00253400"/>
    <w:rsid w:val="002537F5"/>
    <w:rsid w:val="002537FB"/>
    <w:rsid w:val="00253905"/>
    <w:rsid w:val="002539D5"/>
    <w:rsid w:val="0025429A"/>
    <w:rsid w:val="00256035"/>
    <w:rsid w:val="0025655A"/>
    <w:rsid w:val="00256A28"/>
    <w:rsid w:val="00256A6D"/>
    <w:rsid w:val="00256B22"/>
    <w:rsid w:val="00256B25"/>
    <w:rsid w:val="00256D51"/>
    <w:rsid w:val="00256F02"/>
    <w:rsid w:val="002571C8"/>
    <w:rsid w:val="002572F1"/>
    <w:rsid w:val="002573B3"/>
    <w:rsid w:val="002573C4"/>
    <w:rsid w:val="00257A62"/>
    <w:rsid w:val="00260156"/>
    <w:rsid w:val="0026075E"/>
    <w:rsid w:val="002608BD"/>
    <w:rsid w:val="00260FAD"/>
    <w:rsid w:val="002617F6"/>
    <w:rsid w:val="00261D05"/>
    <w:rsid w:val="002623AC"/>
    <w:rsid w:val="00262682"/>
    <w:rsid w:val="00262979"/>
    <w:rsid w:val="00263038"/>
    <w:rsid w:val="002631DC"/>
    <w:rsid w:val="0026382D"/>
    <w:rsid w:val="0026385F"/>
    <w:rsid w:val="00263DD9"/>
    <w:rsid w:val="00264256"/>
    <w:rsid w:val="0026432F"/>
    <w:rsid w:val="0026455A"/>
    <w:rsid w:val="0026460B"/>
    <w:rsid w:val="0026468A"/>
    <w:rsid w:val="00264C28"/>
    <w:rsid w:val="00264E37"/>
    <w:rsid w:val="00264FB2"/>
    <w:rsid w:val="0026533C"/>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491"/>
    <w:rsid w:val="0027257A"/>
    <w:rsid w:val="00272736"/>
    <w:rsid w:val="00272BB1"/>
    <w:rsid w:val="00272D06"/>
    <w:rsid w:val="00272FEB"/>
    <w:rsid w:val="00273644"/>
    <w:rsid w:val="002738C9"/>
    <w:rsid w:val="00273B2D"/>
    <w:rsid w:val="00273CFB"/>
    <w:rsid w:val="00274668"/>
    <w:rsid w:val="00274ACE"/>
    <w:rsid w:val="00274CE5"/>
    <w:rsid w:val="00274D04"/>
    <w:rsid w:val="00274D08"/>
    <w:rsid w:val="00274DE3"/>
    <w:rsid w:val="00274E57"/>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77EFA"/>
    <w:rsid w:val="002801E2"/>
    <w:rsid w:val="00280612"/>
    <w:rsid w:val="0028073A"/>
    <w:rsid w:val="00280960"/>
    <w:rsid w:val="00280B88"/>
    <w:rsid w:val="002814AA"/>
    <w:rsid w:val="0028164E"/>
    <w:rsid w:val="0028168F"/>
    <w:rsid w:val="00281DD5"/>
    <w:rsid w:val="002825CE"/>
    <w:rsid w:val="0028272A"/>
    <w:rsid w:val="00283165"/>
    <w:rsid w:val="002832E7"/>
    <w:rsid w:val="00283B67"/>
    <w:rsid w:val="00283C3F"/>
    <w:rsid w:val="00284E7F"/>
    <w:rsid w:val="0028550D"/>
    <w:rsid w:val="00285520"/>
    <w:rsid w:val="00285894"/>
    <w:rsid w:val="00285E28"/>
    <w:rsid w:val="00286631"/>
    <w:rsid w:val="00286B84"/>
    <w:rsid w:val="00286F76"/>
    <w:rsid w:val="00287376"/>
    <w:rsid w:val="002877DE"/>
    <w:rsid w:val="00287821"/>
    <w:rsid w:val="00287C28"/>
    <w:rsid w:val="00287C39"/>
    <w:rsid w:val="00287D83"/>
    <w:rsid w:val="00290254"/>
    <w:rsid w:val="00290C83"/>
    <w:rsid w:val="0029130D"/>
    <w:rsid w:val="0029142E"/>
    <w:rsid w:val="002915DA"/>
    <w:rsid w:val="0029178F"/>
    <w:rsid w:val="00291C45"/>
    <w:rsid w:val="00292075"/>
    <w:rsid w:val="00292540"/>
    <w:rsid w:val="0029279E"/>
    <w:rsid w:val="00292F2A"/>
    <w:rsid w:val="00293318"/>
    <w:rsid w:val="00293504"/>
    <w:rsid w:val="00293C49"/>
    <w:rsid w:val="00294266"/>
    <w:rsid w:val="002944CA"/>
    <w:rsid w:val="00294504"/>
    <w:rsid w:val="00294722"/>
    <w:rsid w:val="00294AB1"/>
    <w:rsid w:val="00294C8C"/>
    <w:rsid w:val="00295226"/>
    <w:rsid w:val="002953D0"/>
    <w:rsid w:val="00295892"/>
    <w:rsid w:val="00295F1C"/>
    <w:rsid w:val="002960D8"/>
    <w:rsid w:val="0029660E"/>
    <w:rsid w:val="00296758"/>
    <w:rsid w:val="0029696C"/>
    <w:rsid w:val="00296ADD"/>
    <w:rsid w:val="00296D93"/>
    <w:rsid w:val="00296FD8"/>
    <w:rsid w:val="0029743A"/>
    <w:rsid w:val="00297499"/>
    <w:rsid w:val="002974AA"/>
    <w:rsid w:val="002977A0"/>
    <w:rsid w:val="00297D9D"/>
    <w:rsid w:val="00297F46"/>
    <w:rsid w:val="002A025C"/>
    <w:rsid w:val="002A0581"/>
    <w:rsid w:val="002A05EF"/>
    <w:rsid w:val="002A0724"/>
    <w:rsid w:val="002A1A57"/>
    <w:rsid w:val="002A1DA1"/>
    <w:rsid w:val="002A205B"/>
    <w:rsid w:val="002A2E58"/>
    <w:rsid w:val="002A2FB8"/>
    <w:rsid w:val="002A31FF"/>
    <w:rsid w:val="002A3668"/>
    <w:rsid w:val="002A3771"/>
    <w:rsid w:val="002A37C5"/>
    <w:rsid w:val="002A3AFD"/>
    <w:rsid w:val="002A3B12"/>
    <w:rsid w:val="002A4102"/>
    <w:rsid w:val="002A4918"/>
    <w:rsid w:val="002A4B7D"/>
    <w:rsid w:val="002A4E20"/>
    <w:rsid w:val="002A523D"/>
    <w:rsid w:val="002A5410"/>
    <w:rsid w:val="002A5953"/>
    <w:rsid w:val="002A5FC1"/>
    <w:rsid w:val="002A6EF8"/>
    <w:rsid w:val="002A732C"/>
    <w:rsid w:val="002A7A6A"/>
    <w:rsid w:val="002A7AB4"/>
    <w:rsid w:val="002B06F8"/>
    <w:rsid w:val="002B07BF"/>
    <w:rsid w:val="002B0805"/>
    <w:rsid w:val="002B0960"/>
    <w:rsid w:val="002B0C99"/>
    <w:rsid w:val="002B1015"/>
    <w:rsid w:val="002B10F9"/>
    <w:rsid w:val="002B12C7"/>
    <w:rsid w:val="002B15CF"/>
    <w:rsid w:val="002B1939"/>
    <w:rsid w:val="002B1AFA"/>
    <w:rsid w:val="002B21D6"/>
    <w:rsid w:val="002B272A"/>
    <w:rsid w:val="002B2C92"/>
    <w:rsid w:val="002B3081"/>
    <w:rsid w:val="002B318B"/>
    <w:rsid w:val="002B32BC"/>
    <w:rsid w:val="002B340B"/>
    <w:rsid w:val="002B34AE"/>
    <w:rsid w:val="002B39E3"/>
    <w:rsid w:val="002B3D90"/>
    <w:rsid w:val="002B453B"/>
    <w:rsid w:val="002B47C6"/>
    <w:rsid w:val="002B49B9"/>
    <w:rsid w:val="002B4C39"/>
    <w:rsid w:val="002B505A"/>
    <w:rsid w:val="002B5F5C"/>
    <w:rsid w:val="002B601A"/>
    <w:rsid w:val="002B60FF"/>
    <w:rsid w:val="002B61F1"/>
    <w:rsid w:val="002B64FE"/>
    <w:rsid w:val="002B694E"/>
    <w:rsid w:val="002B6D31"/>
    <w:rsid w:val="002B6E52"/>
    <w:rsid w:val="002B70A2"/>
    <w:rsid w:val="002B7D56"/>
    <w:rsid w:val="002C0328"/>
    <w:rsid w:val="002C04C2"/>
    <w:rsid w:val="002C0818"/>
    <w:rsid w:val="002C0D11"/>
    <w:rsid w:val="002C15DA"/>
    <w:rsid w:val="002C1B17"/>
    <w:rsid w:val="002C1D21"/>
    <w:rsid w:val="002C203A"/>
    <w:rsid w:val="002C2AE9"/>
    <w:rsid w:val="002C2B29"/>
    <w:rsid w:val="002C2E8A"/>
    <w:rsid w:val="002C2FCD"/>
    <w:rsid w:val="002C3AE4"/>
    <w:rsid w:val="002C3E89"/>
    <w:rsid w:val="002C42AA"/>
    <w:rsid w:val="002C479D"/>
    <w:rsid w:val="002C4AF6"/>
    <w:rsid w:val="002C5533"/>
    <w:rsid w:val="002C5620"/>
    <w:rsid w:val="002C587C"/>
    <w:rsid w:val="002C5A6B"/>
    <w:rsid w:val="002C61E0"/>
    <w:rsid w:val="002C640C"/>
    <w:rsid w:val="002C6D3C"/>
    <w:rsid w:val="002C7114"/>
    <w:rsid w:val="002C74E6"/>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6A23"/>
    <w:rsid w:val="002D7235"/>
    <w:rsid w:val="002D76E8"/>
    <w:rsid w:val="002D78EF"/>
    <w:rsid w:val="002D7EA0"/>
    <w:rsid w:val="002E0E5E"/>
    <w:rsid w:val="002E0E94"/>
    <w:rsid w:val="002E15A5"/>
    <w:rsid w:val="002E16BC"/>
    <w:rsid w:val="002E1E06"/>
    <w:rsid w:val="002E2059"/>
    <w:rsid w:val="002E25D2"/>
    <w:rsid w:val="002E2738"/>
    <w:rsid w:val="002E2923"/>
    <w:rsid w:val="002E29D7"/>
    <w:rsid w:val="002E2A76"/>
    <w:rsid w:val="002E306D"/>
    <w:rsid w:val="002E31D5"/>
    <w:rsid w:val="002E3653"/>
    <w:rsid w:val="002E38B7"/>
    <w:rsid w:val="002E406C"/>
    <w:rsid w:val="002E4301"/>
    <w:rsid w:val="002E453E"/>
    <w:rsid w:val="002E4C3A"/>
    <w:rsid w:val="002E58E1"/>
    <w:rsid w:val="002E5BDD"/>
    <w:rsid w:val="002E5C56"/>
    <w:rsid w:val="002E5D86"/>
    <w:rsid w:val="002E5DD7"/>
    <w:rsid w:val="002E6809"/>
    <w:rsid w:val="002E7165"/>
    <w:rsid w:val="002E7780"/>
    <w:rsid w:val="002F0045"/>
    <w:rsid w:val="002F00F0"/>
    <w:rsid w:val="002F025B"/>
    <w:rsid w:val="002F0684"/>
    <w:rsid w:val="002F06A8"/>
    <w:rsid w:val="002F09C0"/>
    <w:rsid w:val="002F0ADB"/>
    <w:rsid w:val="002F0E34"/>
    <w:rsid w:val="002F16C4"/>
    <w:rsid w:val="002F1A1B"/>
    <w:rsid w:val="002F1D03"/>
    <w:rsid w:val="002F22C3"/>
    <w:rsid w:val="002F2AE0"/>
    <w:rsid w:val="002F31C4"/>
    <w:rsid w:val="002F322F"/>
    <w:rsid w:val="002F3885"/>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81"/>
    <w:rsid w:val="002F5FDA"/>
    <w:rsid w:val="002F618D"/>
    <w:rsid w:val="002F63ED"/>
    <w:rsid w:val="002F6AC6"/>
    <w:rsid w:val="002F6BDA"/>
    <w:rsid w:val="002F74BE"/>
    <w:rsid w:val="002F778C"/>
    <w:rsid w:val="002F7919"/>
    <w:rsid w:val="002F79D1"/>
    <w:rsid w:val="002F7B6D"/>
    <w:rsid w:val="002F7D48"/>
    <w:rsid w:val="002F7EC5"/>
    <w:rsid w:val="00300085"/>
    <w:rsid w:val="0030027C"/>
    <w:rsid w:val="003003AD"/>
    <w:rsid w:val="00300E5F"/>
    <w:rsid w:val="003011C0"/>
    <w:rsid w:val="00301686"/>
    <w:rsid w:val="003018AF"/>
    <w:rsid w:val="00301DA6"/>
    <w:rsid w:val="00301EE4"/>
    <w:rsid w:val="003024DE"/>
    <w:rsid w:val="00302532"/>
    <w:rsid w:val="00302701"/>
    <w:rsid w:val="00302739"/>
    <w:rsid w:val="00302B48"/>
    <w:rsid w:val="00302EDE"/>
    <w:rsid w:val="00302FEF"/>
    <w:rsid w:val="0030318E"/>
    <w:rsid w:val="003037F0"/>
    <w:rsid w:val="00304556"/>
    <w:rsid w:val="00304AC5"/>
    <w:rsid w:val="00304C9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C2"/>
    <w:rsid w:val="00314CBB"/>
    <w:rsid w:val="0031599D"/>
    <w:rsid w:val="00315DEC"/>
    <w:rsid w:val="00316064"/>
    <w:rsid w:val="00316C53"/>
    <w:rsid w:val="00316C58"/>
    <w:rsid w:val="00316EAE"/>
    <w:rsid w:val="00317050"/>
    <w:rsid w:val="003170FD"/>
    <w:rsid w:val="00317625"/>
    <w:rsid w:val="0031767A"/>
    <w:rsid w:val="00317731"/>
    <w:rsid w:val="00317BC5"/>
    <w:rsid w:val="00317C5E"/>
    <w:rsid w:val="0032013F"/>
    <w:rsid w:val="0032018E"/>
    <w:rsid w:val="00320310"/>
    <w:rsid w:val="00320B1B"/>
    <w:rsid w:val="00320B31"/>
    <w:rsid w:val="00320F1B"/>
    <w:rsid w:val="0032151E"/>
    <w:rsid w:val="0032172E"/>
    <w:rsid w:val="003217FD"/>
    <w:rsid w:val="00321822"/>
    <w:rsid w:val="00321B02"/>
    <w:rsid w:val="00321E03"/>
    <w:rsid w:val="0032287E"/>
    <w:rsid w:val="00322BC3"/>
    <w:rsid w:val="00322C2B"/>
    <w:rsid w:val="00322E3B"/>
    <w:rsid w:val="00323273"/>
    <w:rsid w:val="003232E3"/>
    <w:rsid w:val="003237B5"/>
    <w:rsid w:val="00323FAD"/>
    <w:rsid w:val="00324089"/>
    <w:rsid w:val="00324701"/>
    <w:rsid w:val="0032489D"/>
    <w:rsid w:val="003249F8"/>
    <w:rsid w:val="00324A21"/>
    <w:rsid w:val="0032556B"/>
    <w:rsid w:val="0032651E"/>
    <w:rsid w:val="003267A6"/>
    <w:rsid w:val="00326965"/>
    <w:rsid w:val="003271E3"/>
    <w:rsid w:val="003272D0"/>
    <w:rsid w:val="003273DE"/>
    <w:rsid w:val="003278C7"/>
    <w:rsid w:val="0032793B"/>
    <w:rsid w:val="00327AEA"/>
    <w:rsid w:val="00327C3F"/>
    <w:rsid w:val="00327D99"/>
    <w:rsid w:val="00327FA5"/>
    <w:rsid w:val="00327FBE"/>
    <w:rsid w:val="003308C4"/>
    <w:rsid w:val="00330C30"/>
    <w:rsid w:val="00330C75"/>
    <w:rsid w:val="00330DE8"/>
    <w:rsid w:val="00332123"/>
    <w:rsid w:val="003321C3"/>
    <w:rsid w:val="003324FC"/>
    <w:rsid w:val="003327DD"/>
    <w:rsid w:val="00332962"/>
    <w:rsid w:val="00333B13"/>
    <w:rsid w:val="00333D8E"/>
    <w:rsid w:val="003346F8"/>
    <w:rsid w:val="003348FD"/>
    <w:rsid w:val="00334E18"/>
    <w:rsid w:val="00335250"/>
    <w:rsid w:val="00335670"/>
    <w:rsid w:val="0033572D"/>
    <w:rsid w:val="0033592C"/>
    <w:rsid w:val="00335E2A"/>
    <w:rsid w:val="003365CE"/>
    <w:rsid w:val="00336780"/>
    <w:rsid w:val="003367C5"/>
    <w:rsid w:val="00336DAD"/>
    <w:rsid w:val="00336DB3"/>
    <w:rsid w:val="00337065"/>
    <w:rsid w:val="00337B29"/>
    <w:rsid w:val="00337C71"/>
    <w:rsid w:val="0034068C"/>
    <w:rsid w:val="003406B1"/>
    <w:rsid w:val="00340894"/>
    <w:rsid w:val="00340CC6"/>
    <w:rsid w:val="00340E58"/>
    <w:rsid w:val="00341087"/>
    <w:rsid w:val="003413C9"/>
    <w:rsid w:val="00341706"/>
    <w:rsid w:val="00341CFA"/>
    <w:rsid w:val="0034246D"/>
    <w:rsid w:val="00342AF3"/>
    <w:rsid w:val="0034305B"/>
    <w:rsid w:val="0034307F"/>
    <w:rsid w:val="003432D0"/>
    <w:rsid w:val="00343C24"/>
    <w:rsid w:val="00343FA6"/>
    <w:rsid w:val="00344725"/>
    <w:rsid w:val="00344901"/>
    <w:rsid w:val="0034511B"/>
    <w:rsid w:val="003453BF"/>
    <w:rsid w:val="00345AE6"/>
    <w:rsid w:val="003468D0"/>
    <w:rsid w:val="0034745C"/>
    <w:rsid w:val="003474CD"/>
    <w:rsid w:val="0034774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1FF"/>
    <w:rsid w:val="003532D2"/>
    <w:rsid w:val="003536C6"/>
    <w:rsid w:val="003539B2"/>
    <w:rsid w:val="00353B23"/>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59C"/>
    <w:rsid w:val="003617B5"/>
    <w:rsid w:val="0036185C"/>
    <w:rsid w:val="00361B1A"/>
    <w:rsid w:val="00361C43"/>
    <w:rsid w:val="0036227D"/>
    <w:rsid w:val="0036262C"/>
    <w:rsid w:val="00362C5A"/>
    <w:rsid w:val="003634F8"/>
    <w:rsid w:val="003635B6"/>
    <w:rsid w:val="0036362F"/>
    <w:rsid w:val="00363FC9"/>
    <w:rsid w:val="00364C7B"/>
    <w:rsid w:val="00365023"/>
    <w:rsid w:val="00365644"/>
    <w:rsid w:val="0036590C"/>
    <w:rsid w:val="003665C5"/>
    <w:rsid w:val="00366B3A"/>
    <w:rsid w:val="00370285"/>
    <w:rsid w:val="00370372"/>
    <w:rsid w:val="003704EE"/>
    <w:rsid w:val="00370880"/>
    <w:rsid w:val="00370EFD"/>
    <w:rsid w:val="00371137"/>
    <w:rsid w:val="003711C5"/>
    <w:rsid w:val="003713B4"/>
    <w:rsid w:val="00371965"/>
    <w:rsid w:val="003719F5"/>
    <w:rsid w:val="00371C1D"/>
    <w:rsid w:val="00372019"/>
    <w:rsid w:val="00372029"/>
    <w:rsid w:val="003724A1"/>
    <w:rsid w:val="00372A6B"/>
    <w:rsid w:val="00372C12"/>
    <w:rsid w:val="00372CD9"/>
    <w:rsid w:val="00372CFC"/>
    <w:rsid w:val="00372EDE"/>
    <w:rsid w:val="00373B3C"/>
    <w:rsid w:val="00373E10"/>
    <w:rsid w:val="00373E3A"/>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24"/>
    <w:rsid w:val="00376E0C"/>
    <w:rsid w:val="0037709A"/>
    <w:rsid w:val="00377146"/>
    <w:rsid w:val="003771CA"/>
    <w:rsid w:val="00377397"/>
    <w:rsid w:val="0037757C"/>
    <w:rsid w:val="003775BD"/>
    <w:rsid w:val="0038040A"/>
    <w:rsid w:val="00380520"/>
    <w:rsid w:val="00380543"/>
    <w:rsid w:val="00380602"/>
    <w:rsid w:val="00380892"/>
    <w:rsid w:val="00380BBD"/>
    <w:rsid w:val="00380FF5"/>
    <w:rsid w:val="003813CE"/>
    <w:rsid w:val="0038158E"/>
    <w:rsid w:val="003821E7"/>
    <w:rsid w:val="0038269E"/>
    <w:rsid w:val="00382903"/>
    <w:rsid w:val="003839B6"/>
    <w:rsid w:val="00383D4B"/>
    <w:rsid w:val="00383DDB"/>
    <w:rsid w:val="00384288"/>
    <w:rsid w:val="003842A8"/>
    <w:rsid w:val="003846C9"/>
    <w:rsid w:val="00384747"/>
    <w:rsid w:val="003848D9"/>
    <w:rsid w:val="00384BC0"/>
    <w:rsid w:val="003852CC"/>
    <w:rsid w:val="003853A0"/>
    <w:rsid w:val="003855AF"/>
    <w:rsid w:val="00385A70"/>
    <w:rsid w:val="00385BD7"/>
    <w:rsid w:val="003861FA"/>
    <w:rsid w:val="003862EA"/>
    <w:rsid w:val="00386688"/>
    <w:rsid w:val="00386A15"/>
    <w:rsid w:val="00386B71"/>
    <w:rsid w:val="0038702D"/>
    <w:rsid w:val="003870BC"/>
    <w:rsid w:val="0038732E"/>
    <w:rsid w:val="003875A7"/>
    <w:rsid w:val="00387675"/>
    <w:rsid w:val="00387771"/>
    <w:rsid w:val="0038780F"/>
    <w:rsid w:val="00387866"/>
    <w:rsid w:val="00387868"/>
    <w:rsid w:val="00387B2B"/>
    <w:rsid w:val="00390414"/>
    <w:rsid w:val="00390449"/>
    <w:rsid w:val="003904B1"/>
    <w:rsid w:val="003907D2"/>
    <w:rsid w:val="00390C56"/>
    <w:rsid w:val="0039122C"/>
    <w:rsid w:val="0039124D"/>
    <w:rsid w:val="00391354"/>
    <w:rsid w:val="00391A92"/>
    <w:rsid w:val="00391C99"/>
    <w:rsid w:val="003926BE"/>
    <w:rsid w:val="003926C1"/>
    <w:rsid w:val="003929BE"/>
    <w:rsid w:val="003929D3"/>
    <w:rsid w:val="00392A1F"/>
    <w:rsid w:val="00392DB8"/>
    <w:rsid w:val="00392FA0"/>
    <w:rsid w:val="003933FD"/>
    <w:rsid w:val="00393A68"/>
    <w:rsid w:val="00393B78"/>
    <w:rsid w:val="003945DA"/>
    <w:rsid w:val="003946B1"/>
    <w:rsid w:val="00394775"/>
    <w:rsid w:val="00394948"/>
    <w:rsid w:val="00394B44"/>
    <w:rsid w:val="00394D6C"/>
    <w:rsid w:val="0039502C"/>
    <w:rsid w:val="0039511F"/>
    <w:rsid w:val="003956E2"/>
    <w:rsid w:val="003956FE"/>
    <w:rsid w:val="0039570D"/>
    <w:rsid w:val="0039586B"/>
    <w:rsid w:val="003958F1"/>
    <w:rsid w:val="00395989"/>
    <w:rsid w:val="0039598F"/>
    <w:rsid w:val="00395DB2"/>
    <w:rsid w:val="0039610F"/>
    <w:rsid w:val="003962EC"/>
    <w:rsid w:val="003965AE"/>
    <w:rsid w:val="0039665F"/>
    <w:rsid w:val="00396BBB"/>
    <w:rsid w:val="00396CDE"/>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BD6"/>
    <w:rsid w:val="003A2D39"/>
    <w:rsid w:val="003A2FE7"/>
    <w:rsid w:val="003A3312"/>
    <w:rsid w:val="003A349E"/>
    <w:rsid w:val="003A38AC"/>
    <w:rsid w:val="003A42BB"/>
    <w:rsid w:val="003A44AA"/>
    <w:rsid w:val="003A45FB"/>
    <w:rsid w:val="003A48FC"/>
    <w:rsid w:val="003A4A2E"/>
    <w:rsid w:val="003A4B5F"/>
    <w:rsid w:val="003A4CD4"/>
    <w:rsid w:val="003A4E82"/>
    <w:rsid w:val="003A523B"/>
    <w:rsid w:val="003A5865"/>
    <w:rsid w:val="003A590E"/>
    <w:rsid w:val="003A5CC5"/>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AAF"/>
    <w:rsid w:val="003B4B90"/>
    <w:rsid w:val="003B4D9B"/>
    <w:rsid w:val="003B4E9C"/>
    <w:rsid w:val="003B4F75"/>
    <w:rsid w:val="003B570F"/>
    <w:rsid w:val="003B5B57"/>
    <w:rsid w:val="003B5B7E"/>
    <w:rsid w:val="003B5BCB"/>
    <w:rsid w:val="003B5E30"/>
    <w:rsid w:val="003B6FCB"/>
    <w:rsid w:val="003B7020"/>
    <w:rsid w:val="003B7294"/>
    <w:rsid w:val="003B76FE"/>
    <w:rsid w:val="003C009A"/>
    <w:rsid w:val="003C07D7"/>
    <w:rsid w:val="003C0985"/>
    <w:rsid w:val="003C10B8"/>
    <w:rsid w:val="003C1402"/>
    <w:rsid w:val="003C1BE8"/>
    <w:rsid w:val="003C22CA"/>
    <w:rsid w:val="003C2C9D"/>
    <w:rsid w:val="003C3B73"/>
    <w:rsid w:val="003C3D6E"/>
    <w:rsid w:val="003C3F8B"/>
    <w:rsid w:val="003C4213"/>
    <w:rsid w:val="003C4250"/>
    <w:rsid w:val="003C44DB"/>
    <w:rsid w:val="003C4B1C"/>
    <w:rsid w:val="003C4F25"/>
    <w:rsid w:val="003C64CD"/>
    <w:rsid w:val="003C6580"/>
    <w:rsid w:val="003C6906"/>
    <w:rsid w:val="003C6CCB"/>
    <w:rsid w:val="003C6CD8"/>
    <w:rsid w:val="003C6DA9"/>
    <w:rsid w:val="003C7855"/>
    <w:rsid w:val="003C7AE8"/>
    <w:rsid w:val="003D0240"/>
    <w:rsid w:val="003D042F"/>
    <w:rsid w:val="003D06A7"/>
    <w:rsid w:val="003D0868"/>
    <w:rsid w:val="003D09DA"/>
    <w:rsid w:val="003D0D75"/>
    <w:rsid w:val="003D1CD0"/>
    <w:rsid w:val="003D1F11"/>
    <w:rsid w:val="003D22AC"/>
    <w:rsid w:val="003D2339"/>
    <w:rsid w:val="003D26AA"/>
    <w:rsid w:val="003D2E43"/>
    <w:rsid w:val="003D3793"/>
    <w:rsid w:val="003D3AD8"/>
    <w:rsid w:val="003D3EE3"/>
    <w:rsid w:val="003D4350"/>
    <w:rsid w:val="003D4409"/>
    <w:rsid w:val="003D488D"/>
    <w:rsid w:val="003D519A"/>
    <w:rsid w:val="003D5717"/>
    <w:rsid w:val="003D5878"/>
    <w:rsid w:val="003D59FE"/>
    <w:rsid w:val="003D5AF5"/>
    <w:rsid w:val="003D60E2"/>
    <w:rsid w:val="003D63BA"/>
    <w:rsid w:val="003D6598"/>
    <w:rsid w:val="003D680E"/>
    <w:rsid w:val="003D69ED"/>
    <w:rsid w:val="003D6B43"/>
    <w:rsid w:val="003D73CF"/>
    <w:rsid w:val="003D740C"/>
    <w:rsid w:val="003D79E8"/>
    <w:rsid w:val="003D7CC1"/>
    <w:rsid w:val="003D7DD3"/>
    <w:rsid w:val="003D7ECA"/>
    <w:rsid w:val="003D7F46"/>
    <w:rsid w:val="003E00D2"/>
    <w:rsid w:val="003E0487"/>
    <w:rsid w:val="003E0622"/>
    <w:rsid w:val="003E089F"/>
    <w:rsid w:val="003E0974"/>
    <w:rsid w:val="003E0ADB"/>
    <w:rsid w:val="003E0CE4"/>
    <w:rsid w:val="003E1370"/>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C5B"/>
    <w:rsid w:val="003E3CA6"/>
    <w:rsid w:val="003E40C9"/>
    <w:rsid w:val="003E416F"/>
    <w:rsid w:val="003E44DC"/>
    <w:rsid w:val="003E4884"/>
    <w:rsid w:val="003E4CDB"/>
    <w:rsid w:val="003E5877"/>
    <w:rsid w:val="003E5DD3"/>
    <w:rsid w:val="003E60F4"/>
    <w:rsid w:val="003E6289"/>
    <w:rsid w:val="003E6592"/>
    <w:rsid w:val="003E679D"/>
    <w:rsid w:val="003E6A3C"/>
    <w:rsid w:val="003E6EC6"/>
    <w:rsid w:val="003E700A"/>
    <w:rsid w:val="003E7313"/>
    <w:rsid w:val="003E73BC"/>
    <w:rsid w:val="003E76BB"/>
    <w:rsid w:val="003E7706"/>
    <w:rsid w:val="003E7C5E"/>
    <w:rsid w:val="003E7CB1"/>
    <w:rsid w:val="003F0077"/>
    <w:rsid w:val="003F0281"/>
    <w:rsid w:val="003F0656"/>
    <w:rsid w:val="003F066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D45"/>
    <w:rsid w:val="003F62B4"/>
    <w:rsid w:val="003F62F9"/>
    <w:rsid w:val="003F682D"/>
    <w:rsid w:val="003F6853"/>
    <w:rsid w:val="003F6930"/>
    <w:rsid w:val="003F697D"/>
    <w:rsid w:val="003F6A42"/>
    <w:rsid w:val="003F6A55"/>
    <w:rsid w:val="003F7353"/>
    <w:rsid w:val="003F73A0"/>
    <w:rsid w:val="003F75DD"/>
    <w:rsid w:val="003F7908"/>
    <w:rsid w:val="003F7A7C"/>
    <w:rsid w:val="003F7DFF"/>
    <w:rsid w:val="0040015E"/>
    <w:rsid w:val="00400427"/>
    <w:rsid w:val="00400615"/>
    <w:rsid w:val="00400AB0"/>
    <w:rsid w:val="00400C03"/>
    <w:rsid w:val="00400D86"/>
    <w:rsid w:val="004010EF"/>
    <w:rsid w:val="004017C6"/>
    <w:rsid w:val="00402057"/>
    <w:rsid w:val="004021B5"/>
    <w:rsid w:val="004024AB"/>
    <w:rsid w:val="00402DC4"/>
    <w:rsid w:val="00402F2C"/>
    <w:rsid w:val="0040303D"/>
    <w:rsid w:val="00403223"/>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589"/>
    <w:rsid w:val="00406D4A"/>
    <w:rsid w:val="00406D9D"/>
    <w:rsid w:val="00406E7A"/>
    <w:rsid w:val="00406F4B"/>
    <w:rsid w:val="00406FBD"/>
    <w:rsid w:val="004073B0"/>
    <w:rsid w:val="00407612"/>
    <w:rsid w:val="0041029D"/>
    <w:rsid w:val="004102A7"/>
    <w:rsid w:val="00410424"/>
    <w:rsid w:val="004106F9"/>
    <w:rsid w:val="00410B5A"/>
    <w:rsid w:val="00411230"/>
    <w:rsid w:val="00411472"/>
    <w:rsid w:val="00411558"/>
    <w:rsid w:val="004116C3"/>
    <w:rsid w:val="004118C9"/>
    <w:rsid w:val="00412263"/>
    <w:rsid w:val="0041249C"/>
    <w:rsid w:val="00412697"/>
    <w:rsid w:val="00412735"/>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A3"/>
    <w:rsid w:val="004174FC"/>
    <w:rsid w:val="00417678"/>
    <w:rsid w:val="00417AFB"/>
    <w:rsid w:val="00417D10"/>
    <w:rsid w:val="00420126"/>
    <w:rsid w:val="00420249"/>
    <w:rsid w:val="004203CF"/>
    <w:rsid w:val="00420658"/>
    <w:rsid w:val="00420755"/>
    <w:rsid w:val="00420CB7"/>
    <w:rsid w:val="004213C2"/>
    <w:rsid w:val="004213E8"/>
    <w:rsid w:val="0042156E"/>
    <w:rsid w:val="00421E94"/>
    <w:rsid w:val="00421EC6"/>
    <w:rsid w:val="004222BF"/>
    <w:rsid w:val="00422A01"/>
    <w:rsid w:val="00422D62"/>
    <w:rsid w:val="00422DB5"/>
    <w:rsid w:val="004232D4"/>
    <w:rsid w:val="00423326"/>
    <w:rsid w:val="004235A3"/>
    <w:rsid w:val="00423774"/>
    <w:rsid w:val="0042408B"/>
    <w:rsid w:val="004241DA"/>
    <w:rsid w:val="00424844"/>
    <w:rsid w:val="004249D0"/>
    <w:rsid w:val="00424CE4"/>
    <w:rsid w:val="004251F8"/>
    <w:rsid w:val="004253B1"/>
    <w:rsid w:val="00425C97"/>
    <w:rsid w:val="00425E42"/>
    <w:rsid w:val="00425FFD"/>
    <w:rsid w:val="004262F8"/>
    <w:rsid w:val="00426442"/>
    <w:rsid w:val="0042654A"/>
    <w:rsid w:val="00426A93"/>
    <w:rsid w:val="00426D1A"/>
    <w:rsid w:val="00426DFA"/>
    <w:rsid w:val="004272ED"/>
    <w:rsid w:val="004276E3"/>
    <w:rsid w:val="00427AA7"/>
    <w:rsid w:val="00427B9D"/>
    <w:rsid w:val="00427BFB"/>
    <w:rsid w:val="00427E67"/>
    <w:rsid w:val="00430178"/>
    <w:rsid w:val="004303B3"/>
    <w:rsid w:val="0043042C"/>
    <w:rsid w:val="00430495"/>
    <w:rsid w:val="0043063B"/>
    <w:rsid w:val="00430733"/>
    <w:rsid w:val="00430CD1"/>
    <w:rsid w:val="00430D5E"/>
    <w:rsid w:val="00430D78"/>
    <w:rsid w:val="00431149"/>
    <w:rsid w:val="0043189C"/>
    <w:rsid w:val="004318FF"/>
    <w:rsid w:val="00431923"/>
    <w:rsid w:val="00431CB1"/>
    <w:rsid w:val="00431DB5"/>
    <w:rsid w:val="0043270B"/>
    <w:rsid w:val="00432780"/>
    <w:rsid w:val="00432F8F"/>
    <w:rsid w:val="00432F9E"/>
    <w:rsid w:val="00433106"/>
    <w:rsid w:val="0043359F"/>
    <w:rsid w:val="00433D8A"/>
    <w:rsid w:val="00434066"/>
    <w:rsid w:val="004342F4"/>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589"/>
    <w:rsid w:val="00437895"/>
    <w:rsid w:val="00437E77"/>
    <w:rsid w:val="004402A7"/>
    <w:rsid w:val="0044035D"/>
    <w:rsid w:val="00440850"/>
    <w:rsid w:val="00440EA5"/>
    <w:rsid w:val="0044142F"/>
    <w:rsid w:val="0044173B"/>
    <w:rsid w:val="004425C2"/>
    <w:rsid w:val="004426FE"/>
    <w:rsid w:val="00442824"/>
    <w:rsid w:val="00442F38"/>
    <w:rsid w:val="00442FFB"/>
    <w:rsid w:val="004430FD"/>
    <w:rsid w:val="00443490"/>
    <w:rsid w:val="00443586"/>
    <w:rsid w:val="004435E2"/>
    <w:rsid w:val="004439AB"/>
    <w:rsid w:val="00443A73"/>
    <w:rsid w:val="00443BC9"/>
    <w:rsid w:val="004442A7"/>
    <w:rsid w:val="004446AE"/>
    <w:rsid w:val="00444741"/>
    <w:rsid w:val="00444901"/>
    <w:rsid w:val="00444934"/>
    <w:rsid w:val="00444F5E"/>
    <w:rsid w:val="00445513"/>
    <w:rsid w:val="00445625"/>
    <w:rsid w:val="00445907"/>
    <w:rsid w:val="00445CFF"/>
    <w:rsid w:val="004462AF"/>
    <w:rsid w:val="004462EF"/>
    <w:rsid w:val="00446424"/>
    <w:rsid w:val="0044662A"/>
    <w:rsid w:val="00447342"/>
    <w:rsid w:val="004478FA"/>
    <w:rsid w:val="00447FB0"/>
    <w:rsid w:val="004503F9"/>
    <w:rsid w:val="00450778"/>
    <w:rsid w:val="00450D15"/>
    <w:rsid w:val="00450D3B"/>
    <w:rsid w:val="0045169D"/>
    <w:rsid w:val="004518D5"/>
    <w:rsid w:val="00451B06"/>
    <w:rsid w:val="00451BEB"/>
    <w:rsid w:val="004520FE"/>
    <w:rsid w:val="004527C0"/>
    <w:rsid w:val="00453871"/>
    <w:rsid w:val="00453980"/>
    <w:rsid w:val="00453BB4"/>
    <w:rsid w:val="00453DEF"/>
    <w:rsid w:val="004540AC"/>
    <w:rsid w:val="004543E4"/>
    <w:rsid w:val="004548E5"/>
    <w:rsid w:val="00454ACD"/>
    <w:rsid w:val="00454F08"/>
    <w:rsid w:val="00454F85"/>
    <w:rsid w:val="00455105"/>
    <w:rsid w:val="0045567D"/>
    <w:rsid w:val="00455E20"/>
    <w:rsid w:val="00455F0A"/>
    <w:rsid w:val="00456114"/>
    <w:rsid w:val="0045623E"/>
    <w:rsid w:val="00456971"/>
    <w:rsid w:val="00456AC7"/>
    <w:rsid w:val="004570F5"/>
    <w:rsid w:val="004572BA"/>
    <w:rsid w:val="0045742D"/>
    <w:rsid w:val="00457C5E"/>
    <w:rsid w:val="0046026D"/>
    <w:rsid w:val="0046027A"/>
    <w:rsid w:val="00460535"/>
    <w:rsid w:val="004605CC"/>
    <w:rsid w:val="0046072D"/>
    <w:rsid w:val="00460921"/>
    <w:rsid w:val="00460958"/>
    <w:rsid w:val="00460CF7"/>
    <w:rsid w:val="00460DF0"/>
    <w:rsid w:val="0046110A"/>
    <w:rsid w:val="004612C8"/>
    <w:rsid w:val="0046136B"/>
    <w:rsid w:val="004614A1"/>
    <w:rsid w:val="0046152A"/>
    <w:rsid w:val="0046164D"/>
    <w:rsid w:val="004616E5"/>
    <w:rsid w:val="004616FF"/>
    <w:rsid w:val="0046194F"/>
    <w:rsid w:val="00461C00"/>
    <w:rsid w:val="00461F68"/>
    <w:rsid w:val="004622A1"/>
    <w:rsid w:val="004622D0"/>
    <w:rsid w:val="00462420"/>
    <w:rsid w:val="0046260A"/>
    <w:rsid w:val="00462B09"/>
    <w:rsid w:val="00462B31"/>
    <w:rsid w:val="004630D5"/>
    <w:rsid w:val="00463337"/>
    <w:rsid w:val="00463448"/>
    <w:rsid w:val="004635F5"/>
    <w:rsid w:val="004636FA"/>
    <w:rsid w:val="0046400B"/>
    <w:rsid w:val="004641A0"/>
    <w:rsid w:val="0046434B"/>
    <w:rsid w:val="00464A82"/>
    <w:rsid w:val="00464EE0"/>
    <w:rsid w:val="00465158"/>
    <w:rsid w:val="00465180"/>
    <w:rsid w:val="00465235"/>
    <w:rsid w:val="00465467"/>
    <w:rsid w:val="00465573"/>
    <w:rsid w:val="00465EB3"/>
    <w:rsid w:val="00466022"/>
    <w:rsid w:val="00466709"/>
    <w:rsid w:val="004671E7"/>
    <w:rsid w:val="0047041E"/>
    <w:rsid w:val="00470628"/>
    <w:rsid w:val="00470750"/>
    <w:rsid w:val="00470893"/>
    <w:rsid w:val="00470A49"/>
    <w:rsid w:val="0047166D"/>
    <w:rsid w:val="00471856"/>
    <w:rsid w:val="00471DB0"/>
    <w:rsid w:val="00471FAB"/>
    <w:rsid w:val="0047253B"/>
    <w:rsid w:val="00472ACB"/>
    <w:rsid w:val="00472C6A"/>
    <w:rsid w:val="004734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440"/>
    <w:rsid w:val="00476549"/>
    <w:rsid w:val="00476D05"/>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70A"/>
    <w:rsid w:val="00483D11"/>
    <w:rsid w:val="00483D20"/>
    <w:rsid w:val="0048406D"/>
    <w:rsid w:val="00484704"/>
    <w:rsid w:val="00484C46"/>
    <w:rsid w:val="00484DC1"/>
    <w:rsid w:val="00485280"/>
    <w:rsid w:val="0048542B"/>
    <w:rsid w:val="004856EF"/>
    <w:rsid w:val="0048598C"/>
    <w:rsid w:val="00485998"/>
    <w:rsid w:val="00485A0B"/>
    <w:rsid w:val="00485CBD"/>
    <w:rsid w:val="00485E8A"/>
    <w:rsid w:val="00485F0F"/>
    <w:rsid w:val="004862DE"/>
    <w:rsid w:val="004864FB"/>
    <w:rsid w:val="004869B5"/>
    <w:rsid w:val="00487866"/>
    <w:rsid w:val="004879CD"/>
    <w:rsid w:val="00487CFB"/>
    <w:rsid w:val="00487F28"/>
    <w:rsid w:val="00490185"/>
    <w:rsid w:val="004903C3"/>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7F"/>
    <w:rsid w:val="00492C2F"/>
    <w:rsid w:val="0049349F"/>
    <w:rsid w:val="004935A4"/>
    <w:rsid w:val="004938AA"/>
    <w:rsid w:val="00493D08"/>
    <w:rsid w:val="00494329"/>
    <w:rsid w:val="004949D8"/>
    <w:rsid w:val="00494E75"/>
    <w:rsid w:val="00495071"/>
    <w:rsid w:val="004961DB"/>
    <w:rsid w:val="0049653E"/>
    <w:rsid w:val="00496BEF"/>
    <w:rsid w:val="00496DC2"/>
    <w:rsid w:val="00496E38"/>
    <w:rsid w:val="004973AF"/>
    <w:rsid w:val="00497C03"/>
    <w:rsid w:val="004A01E1"/>
    <w:rsid w:val="004A0BFB"/>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51A"/>
    <w:rsid w:val="004A366E"/>
    <w:rsid w:val="004A36C0"/>
    <w:rsid w:val="004A3AA3"/>
    <w:rsid w:val="004A3CB9"/>
    <w:rsid w:val="004A44AE"/>
    <w:rsid w:val="004A4625"/>
    <w:rsid w:val="004A4900"/>
    <w:rsid w:val="004A4D38"/>
    <w:rsid w:val="004A4E7E"/>
    <w:rsid w:val="004A4E95"/>
    <w:rsid w:val="004A4EB4"/>
    <w:rsid w:val="004A51FA"/>
    <w:rsid w:val="004A5270"/>
    <w:rsid w:val="004A57FC"/>
    <w:rsid w:val="004A5D36"/>
    <w:rsid w:val="004A6794"/>
    <w:rsid w:val="004A705C"/>
    <w:rsid w:val="004A7172"/>
    <w:rsid w:val="004A7276"/>
    <w:rsid w:val="004A746B"/>
    <w:rsid w:val="004A770C"/>
    <w:rsid w:val="004A7C0D"/>
    <w:rsid w:val="004A7EE7"/>
    <w:rsid w:val="004A7FB0"/>
    <w:rsid w:val="004B0706"/>
    <w:rsid w:val="004B0780"/>
    <w:rsid w:val="004B0787"/>
    <w:rsid w:val="004B0913"/>
    <w:rsid w:val="004B0FC4"/>
    <w:rsid w:val="004B1313"/>
    <w:rsid w:val="004B169E"/>
    <w:rsid w:val="004B19BB"/>
    <w:rsid w:val="004B1C42"/>
    <w:rsid w:val="004B235E"/>
    <w:rsid w:val="004B24DB"/>
    <w:rsid w:val="004B269E"/>
    <w:rsid w:val="004B2700"/>
    <w:rsid w:val="004B2B31"/>
    <w:rsid w:val="004B2BD3"/>
    <w:rsid w:val="004B2C33"/>
    <w:rsid w:val="004B2CDB"/>
    <w:rsid w:val="004B2DE8"/>
    <w:rsid w:val="004B2F6E"/>
    <w:rsid w:val="004B321F"/>
    <w:rsid w:val="004B3C3F"/>
    <w:rsid w:val="004B3F66"/>
    <w:rsid w:val="004B45A2"/>
    <w:rsid w:val="004B46C3"/>
    <w:rsid w:val="004B4789"/>
    <w:rsid w:val="004B4A0F"/>
    <w:rsid w:val="004B4F6B"/>
    <w:rsid w:val="004B50E0"/>
    <w:rsid w:val="004B50E8"/>
    <w:rsid w:val="004B55EC"/>
    <w:rsid w:val="004B6301"/>
    <w:rsid w:val="004B6FFB"/>
    <w:rsid w:val="004B7311"/>
    <w:rsid w:val="004B795F"/>
    <w:rsid w:val="004B7BA5"/>
    <w:rsid w:val="004C0346"/>
    <w:rsid w:val="004C0B5B"/>
    <w:rsid w:val="004C0B64"/>
    <w:rsid w:val="004C0B9A"/>
    <w:rsid w:val="004C0C5C"/>
    <w:rsid w:val="004C0F99"/>
    <w:rsid w:val="004C108A"/>
    <w:rsid w:val="004C130D"/>
    <w:rsid w:val="004C1624"/>
    <w:rsid w:val="004C18E0"/>
    <w:rsid w:val="004C19E4"/>
    <w:rsid w:val="004C2371"/>
    <w:rsid w:val="004C2F01"/>
    <w:rsid w:val="004C3472"/>
    <w:rsid w:val="004C34E8"/>
    <w:rsid w:val="004C3AD1"/>
    <w:rsid w:val="004C3C51"/>
    <w:rsid w:val="004C46FB"/>
    <w:rsid w:val="004C47FE"/>
    <w:rsid w:val="004C4B36"/>
    <w:rsid w:val="004C4BCE"/>
    <w:rsid w:val="004C4BF3"/>
    <w:rsid w:val="004C4F33"/>
    <w:rsid w:val="004C521E"/>
    <w:rsid w:val="004C5283"/>
    <w:rsid w:val="004C566C"/>
    <w:rsid w:val="004C5C44"/>
    <w:rsid w:val="004C5EF0"/>
    <w:rsid w:val="004C63D6"/>
    <w:rsid w:val="004C660B"/>
    <w:rsid w:val="004C6CD1"/>
    <w:rsid w:val="004C730E"/>
    <w:rsid w:val="004C766C"/>
    <w:rsid w:val="004C7739"/>
    <w:rsid w:val="004C7798"/>
    <w:rsid w:val="004C7BDF"/>
    <w:rsid w:val="004D018E"/>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BF"/>
    <w:rsid w:val="004D68C0"/>
    <w:rsid w:val="004D70E1"/>
    <w:rsid w:val="004D710C"/>
    <w:rsid w:val="004D7721"/>
    <w:rsid w:val="004E0033"/>
    <w:rsid w:val="004E00F1"/>
    <w:rsid w:val="004E03BE"/>
    <w:rsid w:val="004E071E"/>
    <w:rsid w:val="004E0CD0"/>
    <w:rsid w:val="004E1260"/>
    <w:rsid w:val="004E1A37"/>
    <w:rsid w:val="004E1CBB"/>
    <w:rsid w:val="004E1D07"/>
    <w:rsid w:val="004E209D"/>
    <w:rsid w:val="004E21D3"/>
    <w:rsid w:val="004E2298"/>
    <w:rsid w:val="004E29F9"/>
    <w:rsid w:val="004E2E33"/>
    <w:rsid w:val="004E2F51"/>
    <w:rsid w:val="004E3579"/>
    <w:rsid w:val="004E3892"/>
    <w:rsid w:val="004E3B0E"/>
    <w:rsid w:val="004E3FD8"/>
    <w:rsid w:val="004E467D"/>
    <w:rsid w:val="004E471C"/>
    <w:rsid w:val="004E4EF1"/>
    <w:rsid w:val="004E524E"/>
    <w:rsid w:val="004E53AE"/>
    <w:rsid w:val="004E5449"/>
    <w:rsid w:val="004E5710"/>
    <w:rsid w:val="004E5788"/>
    <w:rsid w:val="004E58D8"/>
    <w:rsid w:val="004E5C61"/>
    <w:rsid w:val="004E601C"/>
    <w:rsid w:val="004E604D"/>
    <w:rsid w:val="004E60AD"/>
    <w:rsid w:val="004E6158"/>
    <w:rsid w:val="004E6184"/>
    <w:rsid w:val="004E6463"/>
    <w:rsid w:val="004E6CEA"/>
    <w:rsid w:val="004E6DF0"/>
    <w:rsid w:val="004E6EAC"/>
    <w:rsid w:val="004E6F18"/>
    <w:rsid w:val="004E76A5"/>
    <w:rsid w:val="004E7B18"/>
    <w:rsid w:val="004E7B7F"/>
    <w:rsid w:val="004E7C85"/>
    <w:rsid w:val="004F01B4"/>
    <w:rsid w:val="004F020A"/>
    <w:rsid w:val="004F02AB"/>
    <w:rsid w:val="004F0485"/>
    <w:rsid w:val="004F0548"/>
    <w:rsid w:val="004F133C"/>
    <w:rsid w:val="004F13D2"/>
    <w:rsid w:val="004F1443"/>
    <w:rsid w:val="004F152A"/>
    <w:rsid w:val="004F1633"/>
    <w:rsid w:val="004F180E"/>
    <w:rsid w:val="004F18ED"/>
    <w:rsid w:val="004F1A00"/>
    <w:rsid w:val="004F1AEF"/>
    <w:rsid w:val="004F20AA"/>
    <w:rsid w:val="004F2826"/>
    <w:rsid w:val="004F2AA6"/>
    <w:rsid w:val="004F2B9C"/>
    <w:rsid w:val="004F2CCE"/>
    <w:rsid w:val="004F333A"/>
    <w:rsid w:val="004F3368"/>
    <w:rsid w:val="004F359A"/>
    <w:rsid w:val="004F3DD1"/>
    <w:rsid w:val="004F4E53"/>
    <w:rsid w:val="004F547E"/>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D6D"/>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670"/>
    <w:rsid w:val="00504BF5"/>
    <w:rsid w:val="00504C4B"/>
    <w:rsid w:val="00504C77"/>
    <w:rsid w:val="00504CBB"/>
    <w:rsid w:val="00504D9B"/>
    <w:rsid w:val="00504F81"/>
    <w:rsid w:val="005050E7"/>
    <w:rsid w:val="00505365"/>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B5"/>
    <w:rsid w:val="005074C9"/>
    <w:rsid w:val="00507754"/>
    <w:rsid w:val="00507CAF"/>
    <w:rsid w:val="00510374"/>
    <w:rsid w:val="005103E6"/>
    <w:rsid w:val="00510444"/>
    <w:rsid w:val="00510626"/>
    <w:rsid w:val="005106CF"/>
    <w:rsid w:val="00510CE2"/>
    <w:rsid w:val="00511599"/>
    <w:rsid w:val="005119D6"/>
    <w:rsid w:val="00511A36"/>
    <w:rsid w:val="00511E67"/>
    <w:rsid w:val="00512747"/>
    <w:rsid w:val="00512A7B"/>
    <w:rsid w:val="00512D39"/>
    <w:rsid w:val="00513845"/>
    <w:rsid w:val="00513B8C"/>
    <w:rsid w:val="00513F8F"/>
    <w:rsid w:val="0051412E"/>
    <w:rsid w:val="005147E7"/>
    <w:rsid w:val="005149A2"/>
    <w:rsid w:val="00514CEE"/>
    <w:rsid w:val="005150E4"/>
    <w:rsid w:val="0051548D"/>
    <w:rsid w:val="00515507"/>
    <w:rsid w:val="00515708"/>
    <w:rsid w:val="00515746"/>
    <w:rsid w:val="00515907"/>
    <w:rsid w:val="00515E2B"/>
    <w:rsid w:val="005169EB"/>
    <w:rsid w:val="00516B96"/>
    <w:rsid w:val="00516D4C"/>
    <w:rsid w:val="00516E9E"/>
    <w:rsid w:val="005173A4"/>
    <w:rsid w:val="005179DC"/>
    <w:rsid w:val="0052001B"/>
    <w:rsid w:val="00520AE3"/>
    <w:rsid w:val="00520D9A"/>
    <w:rsid w:val="00521294"/>
    <w:rsid w:val="0052143F"/>
    <w:rsid w:val="00521D65"/>
    <w:rsid w:val="005221A4"/>
    <w:rsid w:val="00522F53"/>
    <w:rsid w:val="0052320A"/>
    <w:rsid w:val="00523366"/>
    <w:rsid w:val="0052381F"/>
    <w:rsid w:val="00523E18"/>
    <w:rsid w:val="00523F32"/>
    <w:rsid w:val="0052422C"/>
    <w:rsid w:val="005242C4"/>
    <w:rsid w:val="005244D5"/>
    <w:rsid w:val="00524AD1"/>
    <w:rsid w:val="00524AE9"/>
    <w:rsid w:val="00524E6A"/>
    <w:rsid w:val="005251DA"/>
    <w:rsid w:val="00525407"/>
    <w:rsid w:val="00525DF5"/>
    <w:rsid w:val="00525F71"/>
    <w:rsid w:val="00526270"/>
    <w:rsid w:val="005269C2"/>
    <w:rsid w:val="00526A5E"/>
    <w:rsid w:val="00526C8A"/>
    <w:rsid w:val="00526E39"/>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ED3"/>
    <w:rsid w:val="00533F4E"/>
    <w:rsid w:val="005347C7"/>
    <w:rsid w:val="005347FB"/>
    <w:rsid w:val="00534963"/>
    <w:rsid w:val="005349EB"/>
    <w:rsid w:val="00534AA6"/>
    <w:rsid w:val="00534C83"/>
    <w:rsid w:val="00534EE4"/>
    <w:rsid w:val="0053533A"/>
    <w:rsid w:val="00535933"/>
    <w:rsid w:val="00535A27"/>
    <w:rsid w:val="00535B60"/>
    <w:rsid w:val="00536195"/>
    <w:rsid w:val="00536AEE"/>
    <w:rsid w:val="00536D2F"/>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228D"/>
    <w:rsid w:val="0054340E"/>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D63"/>
    <w:rsid w:val="005471A3"/>
    <w:rsid w:val="005471A9"/>
    <w:rsid w:val="00547D9B"/>
    <w:rsid w:val="00547F14"/>
    <w:rsid w:val="00550351"/>
    <w:rsid w:val="0055087F"/>
    <w:rsid w:val="0055088A"/>
    <w:rsid w:val="00550D6F"/>
    <w:rsid w:val="005511B1"/>
    <w:rsid w:val="00551248"/>
    <w:rsid w:val="00551483"/>
    <w:rsid w:val="00551593"/>
    <w:rsid w:val="00551E52"/>
    <w:rsid w:val="00552038"/>
    <w:rsid w:val="0055228D"/>
    <w:rsid w:val="00552300"/>
    <w:rsid w:val="0055233E"/>
    <w:rsid w:val="00552569"/>
    <w:rsid w:val="005528E1"/>
    <w:rsid w:val="00552E20"/>
    <w:rsid w:val="00552EA3"/>
    <w:rsid w:val="00552FF4"/>
    <w:rsid w:val="00553777"/>
    <w:rsid w:val="00553A48"/>
    <w:rsid w:val="00553ABB"/>
    <w:rsid w:val="0055410A"/>
    <w:rsid w:val="005546A4"/>
    <w:rsid w:val="005547CB"/>
    <w:rsid w:val="00554B9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1A1"/>
    <w:rsid w:val="00562757"/>
    <w:rsid w:val="005627C0"/>
    <w:rsid w:val="00562CDC"/>
    <w:rsid w:val="00563FD2"/>
    <w:rsid w:val="0056434D"/>
    <w:rsid w:val="00564597"/>
    <w:rsid w:val="00564EB9"/>
    <w:rsid w:val="00564ED1"/>
    <w:rsid w:val="005650CE"/>
    <w:rsid w:val="00565321"/>
    <w:rsid w:val="0056614F"/>
    <w:rsid w:val="00566C25"/>
    <w:rsid w:val="0056719E"/>
    <w:rsid w:val="00567658"/>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15D"/>
    <w:rsid w:val="005753CA"/>
    <w:rsid w:val="005753DB"/>
    <w:rsid w:val="005756BD"/>
    <w:rsid w:val="00575E09"/>
    <w:rsid w:val="005760C5"/>
    <w:rsid w:val="005766EA"/>
    <w:rsid w:val="00576903"/>
    <w:rsid w:val="00576A37"/>
    <w:rsid w:val="00577368"/>
    <w:rsid w:val="005773FF"/>
    <w:rsid w:val="00577540"/>
    <w:rsid w:val="005777AC"/>
    <w:rsid w:val="00577E83"/>
    <w:rsid w:val="00577EB4"/>
    <w:rsid w:val="00580F52"/>
    <w:rsid w:val="00581081"/>
    <w:rsid w:val="005813CA"/>
    <w:rsid w:val="005815D2"/>
    <w:rsid w:val="005818D4"/>
    <w:rsid w:val="005819D7"/>
    <w:rsid w:val="00581AB8"/>
    <w:rsid w:val="00581B69"/>
    <w:rsid w:val="00581C6E"/>
    <w:rsid w:val="00581F40"/>
    <w:rsid w:val="0058287D"/>
    <w:rsid w:val="005829CC"/>
    <w:rsid w:val="00582E3D"/>
    <w:rsid w:val="00583141"/>
    <w:rsid w:val="00583147"/>
    <w:rsid w:val="005836D0"/>
    <w:rsid w:val="00583B02"/>
    <w:rsid w:val="00583DEF"/>
    <w:rsid w:val="00583E78"/>
    <w:rsid w:val="00584028"/>
    <w:rsid w:val="00584496"/>
    <w:rsid w:val="005852AA"/>
    <w:rsid w:val="00585867"/>
    <w:rsid w:val="00585A55"/>
    <w:rsid w:val="00585C3A"/>
    <w:rsid w:val="00586013"/>
    <w:rsid w:val="0058628A"/>
    <w:rsid w:val="00586B34"/>
    <w:rsid w:val="00587117"/>
    <w:rsid w:val="0058759B"/>
    <w:rsid w:val="0058764D"/>
    <w:rsid w:val="00587D47"/>
    <w:rsid w:val="005909AD"/>
    <w:rsid w:val="00590BF6"/>
    <w:rsid w:val="00591A92"/>
    <w:rsid w:val="00591B9C"/>
    <w:rsid w:val="00591C29"/>
    <w:rsid w:val="00592160"/>
    <w:rsid w:val="005923C9"/>
    <w:rsid w:val="0059284F"/>
    <w:rsid w:val="00592D3C"/>
    <w:rsid w:val="00592E68"/>
    <w:rsid w:val="0059323A"/>
    <w:rsid w:val="00593447"/>
    <w:rsid w:val="00594131"/>
    <w:rsid w:val="005943C6"/>
    <w:rsid w:val="005946E2"/>
    <w:rsid w:val="0059476C"/>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52"/>
    <w:rsid w:val="005A049F"/>
    <w:rsid w:val="005A05C6"/>
    <w:rsid w:val="005A0753"/>
    <w:rsid w:val="005A0854"/>
    <w:rsid w:val="005A0CB6"/>
    <w:rsid w:val="005A0E88"/>
    <w:rsid w:val="005A0EFD"/>
    <w:rsid w:val="005A1242"/>
    <w:rsid w:val="005A14AD"/>
    <w:rsid w:val="005A18F9"/>
    <w:rsid w:val="005A1AA7"/>
    <w:rsid w:val="005A1B45"/>
    <w:rsid w:val="005A1BAF"/>
    <w:rsid w:val="005A1C03"/>
    <w:rsid w:val="005A1CC6"/>
    <w:rsid w:val="005A1FFC"/>
    <w:rsid w:val="005A2229"/>
    <w:rsid w:val="005A23BE"/>
    <w:rsid w:val="005A320D"/>
    <w:rsid w:val="005A36E3"/>
    <w:rsid w:val="005A3A31"/>
    <w:rsid w:val="005A3D77"/>
    <w:rsid w:val="005A416C"/>
    <w:rsid w:val="005A458F"/>
    <w:rsid w:val="005A588D"/>
    <w:rsid w:val="005A59CF"/>
    <w:rsid w:val="005A5D60"/>
    <w:rsid w:val="005A5FD7"/>
    <w:rsid w:val="005A6223"/>
    <w:rsid w:val="005A6A3A"/>
    <w:rsid w:val="005A6BC7"/>
    <w:rsid w:val="005A6E87"/>
    <w:rsid w:val="005A7F72"/>
    <w:rsid w:val="005B005D"/>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867"/>
    <w:rsid w:val="005B5A40"/>
    <w:rsid w:val="005B5A55"/>
    <w:rsid w:val="005B5FC4"/>
    <w:rsid w:val="005B63F6"/>
    <w:rsid w:val="005B6A78"/>
    <w:rsid w:val="005B6FAE"/>
    <w:rsid w:val="005B703E"/>
    <w:rsid w:val="005B7824"/>
    <w:rsid w:val="005B7A4C"/>
    <w:rsid w:val="005B7A5C"/>
    <w:rsid w:val="005C001C"/>
    <w:rsid w:val="005C01BD"/>
    <w:rsid w:val="005C0625"/>
    <w:rsid w:val="005C0904"/>
    <w:rsid w:val="005C0932"/>
    <w:rsid w:val="005C09BF"/>
    <w:rsid w:val="005C0B24"/>
    <w:rsid w:val="005C0D61"/>
    <w:rsid w:val="005C0DDE"/>
    <w:rsid w:val="005C1225"/>
    <w:rsid w:val="005C132F"/>
    <w:rsid w:val="005C1752"/>
    <w:rsid w:val="005C1BF2"/>
    <w:rsid w:val="005C2144"/>
    <w:rsid w:val="005C247C"/>
    <w:rsid w:val="005C2BB0"/>
    <w:rsid w:val="005C2D32"/>
    <w:rsid w:val="005C3022"/>
    <w:rsid w:val="005C33CE"/>
    <w:rsid w:val="005C3574"/>
    <w:rsid w:val="005C376D"/>
    <w:rsid w:val="005C46D7"/>
    <w:rsid w:val="005C4B4D"/>
    <w:rsid w:val="005C4CD6"/>
    <w:rsid w:val="005C4DE3"/>
    <w:rsid w:val="005C5024"/>
    <w:rsid w:val="005C5372"/>
    <w:rsid w:val="005C5379"/>
    <w:rsid w:val="005C537D"/>
    <w:rsid w:val="005C5425"/>
    <w:rsid w:val="005C5458"/>
    <w:rsid w:val="005C5849"/>
    <w:rsid w:val="005C5A28"/>
    <w:rsid w:val="005C6222"/>
    <w:rsid w:val="005C6502"/>
    <w:rsid w:val="005C6B26"/>
    <w:rsid w:val="005C6F22"/>
    <w:rsid w:val="005C772B"/>
    <w:rsid w:val="005C7A54"/>
    <w:rsid w:val="005C7CAD"/>
    <w:rsid w:val="005C7CF2"/>
    <w:rsid w:val="005C7EF8"/>
    <w:rsid w:val="005D01D7"/>
    <w:rsid w:val="005D02FA"/>
    <w:rsid w:val="005D047B"/>
    <w:rsid w:val="005D0790"/>
    <w:rsid w:val="005D0D3E"/>
    <w:rsid w:val="005D17BF"/>
    <w:rsid w:val="005D17F9"/>
    <w:rsid w:val="005D18B1"/>
    <w:rsid w:val="005D1CB0"/>
    <w:rsid w:val="005D20FC"/>
    <w:rsid w:val="005D24A2"/>
    <w:rsid w:val="005D2557"/>
    <w:rsid w:val="005D25D7"/>
    <w:rsid w:val="005D2A49"/>
    <w:rsid w:val="005D2B1D"/>
    <w:rsid w:val="005D2CB0"/>
    <w:rsid w:val="005D2EE8"/>
    <w:rsid w:val="005D3534"/>
    <w:rsid w:val="005D3707"/>
    <w:rsid w:val="005D382F"/>
    <w:rsid w:val="005D3AF0"/>
    <w:rsid w:val="005D3BFD"/>
    <w:rsid w:val="005D41EC"/>
    <w:rsid w:val="005D46E9"/>
    <w:rsid w:val="005D5012"/>
    <w:rsid w:val="005D5E46"/>
    <w:rsid w:val="005D609E"/>
    <w:rsid w:val="005D6331"/>
    <w:rsid w:val="005D64A5"/>
    <w:rsid w:val="005D6929"/>
    <w:rsid w:val="005D69D5"/>
    <w:rsid w:val="005D6AF9"/>
    <w:rsid w:val="005D6B30"/>
    <w:rsid w:val="005D6E1C"/>
    <w:rsid w:val="005D7458"/>
    <w:rsid w:val="005D747B"/>
    <w:rsid w:val="005D7539"/>
    <w:rsid w:val="005D76F4"/>
    <w:rsid w:val="005D7D06"/>
    <w:rsid w:val="005D7E04"/>
    <w:rsid w:val="005E0082"/>
    <w:rsid w:val="005E06E1"/>
    <w:rsid w:val="005E0899"/>
    <w:rsid w:val="005E1393"/>
    <w:rsid w:val="005E1411"/>
    <w:rsid w:val="005E15FB"/>
    <w:rsid w:val="005E18CE"/>
    <w:rsid w:val="005E2213"/>
    <w:rsid w:val="005E3035"/>
    <w:rsid w:val="005E35FD"/>
    <w:rsid w:val="005E383F"/>
    <w:rsid w:val="005E3B77"/>
    <w:rsid w:val="005E3DBD"/>
    <w:rsid w:val="005E3F5F"/>
    <w:rsid w:val="005E45D1"/>
    <w:rsid w:val="005E48F7"/>
    <w:rsid w:val="005E4CCB"/>
    <w:rsid w:val="005E4FBF"/>
    <w:rsid w:val="005E5379"/>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BD3"/>
    <w:rsid w:val="005F1FE4"/>
    <w:rsid w:val="005F2528"/>
    <w:rsid w:val="005F27D4"/>
    <w:rsid w:val="005F3671"/>
    <w:rsid w:val="005F369B"/>
    <w:rsid w:val="005F38C5"/>
    <w:rsid w:val="005F3955"/>
    <w:rsid w:val="005F3F7F"/>
    <w:rsid w:val="005F3FC7"/>
    <w:rsid w:val="005F40E5"/>
    <w:rsid w:val="005F419B"/>
    <w:rsid w:val="005F4511"/>
    <w:rsid w:val="005F46D9"/>
    <w:rsid w:val="005F485F"/>
    <w:rsid w:val="005F4950"/>
    <w:rsid w:val="005F4D16"/>
    <w:rsid w:val="005F523F"/>
    <w:rsid w:val="005F5362"/>
    <w:rsid w:val="005F547B"/>
    <w:rsid w:val="005F556F"/>
    <w:rsid w:val="005F5C3D"/>
    <w:rsid w:val="005F660A"/>
    <w:rsid w:val="005F6697"/>
    <w:rsid w:val="005F66F7"/>
    <w:rsid w:val="005F69DD"/>
    <w:rsid w:val="005F6CA5"/>
    <w:rsid w:val="005F6EF0"/>
    <w:rsid w:val="005F6F60"/>
    <w:rsid w:val="005F6F9C"/>
    <w:rsid w:val="005F6FFC"/>
    <w:rsid w:val="005F767B"/>
    <w:rsid w:val="005F76BE"/>
    <w:rsid w:val="005F7AC8"/>
    <w:rsid w:val="005F7CC1"/>
    <w:rsid w:val="006004DE"/>
    <w:rsid w:val="00600771"/>
    <w:rsid w:val="00600AAB"/>
    <w:rsid w:val="00600B6C"/>
    <w:rsid w:val="00601072"/>
    <w:rsid w:val="00601097"/>
    <w:rsid w:val="0060144E"/>
    <w:rsid w:val="00601FCD"/>
    <w:rsid w:val="00602354"/>
    <w:rsid w:val="0060254B"/>
    <w:rsid w:val="0060268D"/>
    <w:rsid w:val="006027D5"/>
    <w:rsid w:val="0060305B"/>
    <w:rsid w:val="006039C5"/>
    <w:rsid w:val="00603B1B"/>
    <w:rsid w:val="00603DBD"/>
    <w:rsid w:val="006043D7"/>
    <w:rsid w:val="00604594"/>
    <w:rsid w:val="006046FB"/>
    <w:rsid w:val="00604708"/>
    <w:rsid w:val="00604CFF"/>
    <w:rsid w:val="00605399"/>
    <w:rsid w:val="006054EE"/>
    <w:rsid w:val="0060591D"/>
    <w:rsid w:val="006059EC"/>
    <w:rsid w:val="00605A02"/>
    <w:rsid w:val="00605A5D"/>
    <w:rsid w:val="00605B5D"/>
    <w:rsid w:val="006074B1"/>
    <w:rsid w:val="006075C7"/>
    <w:rsid w:val="00607ADE"/>
    <w:rsid w:val="00607E68"/>
    <w:rsid w:val="00610224"/>
    <w:rsid w:val="006102C6"/>
    <w:rsid w:val="006103F0"/>
    <w:rsid w:val="00610B78"/>
    <w:rsid w:val="006110B2"/>
    <w:rsid w:val="006113A9"/>
    <w:rsid w:val="00611C82"/>
    <w:rsid w:val="006120EC"/>
    <w:rsid w:val="006125DB"/>
    <w:rsid w:val="00612C73"/>
    <w:rsid w:val="00612E96"/>
    <w:rsid w:val="006133A2"/>
    <w:rsid w:val="006134CE"/>
    <w:rsid w:val="006138D8"/>
    <w:rsid w:val="00613A55"/>
    <w:rsid w:val="00613DB9"/>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1E2"/>
    <w:rsid w:val="006162D2"/>
    <w:rsid w:val="00616866"/>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8A1"/>
    <w:rsid w:val="00621B6A"/>
    <w:rsid w:val="00621C0B"/>
    <w:rsid w:val="00621C72"/>
    <w:rsid w:val="00621CAD"/>
    <w:rsid w:val="0062203B"/>
    <w:rsid w:val="00622DCC"/>
    <w:rsid w:val="00623427"/>
    <w:rsid w:val="006234D3"/>
    <w:rsid w:val="00623AEB"/>
    <w:rsid w:val="00623E4E"/>
    <w:rsid w:val="006240DB"/>
    <w:rsid w:val="00624C2C"/>
    <w:rsid w:val="00624C6E"/>
    <w:rsid w:val="00624FB3"/>
    <w:rsid w:val="00624FF1"/>
    <w:rsid w:val="006254D3"/>
    <w:rsid w:val="0062587D"/>
    <w:rsid w:val="00625B24"/>
    <w:rsid w:val="0062602F"/>
    <w:rsid w:val="0062657C"/>
    <w:rsid w:val="00626A41"/>
    <w:rsid w:val="00626C25"/>
    <w:rsid w:val="00626E64"/>
    <w:rsid w:val="0062725A"/>
    <w:rsid w:val="0062776C"/>
    <w:rsid w:val="00627BA3"/>
    <w:rsid w:val="00627C39"/>
    <w:rsid w:val="00627E44"/>
    <w:rsid w:val="006300D7"/>
    <w:rsid w:val="00630333"/>
    <w:rsid w:val="00631007"/>
    <w:rsid w:val="00631826"/>
    <w:rsid w:val="0063208C"/>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25B"/>
    <w:rsid w:val="006346F1"/>
    <w:rsid w:val="006347F5"/>
    <w:rsid w:val="00634D10"/>
    <w:rsid w:val="006353D0"/>
    <w:rsid w:val="00635943"/>
    <w:rsid w:val="00635EDC"/>
    <w:rsid w:val="00635F56"/>
    <w:rsid w:val="00636094"/>
    <w:rsid w:val="0063633A"/>
    <w:rsid w:val="0063650D"/>
    <w:rsid w:val="00636A76"/>
    <w:rsid w:val="00636D24"/>
    <w:rsid w:val="0063720A"/>
    <w:rsid w:val="006373C7"/>
    <w:rsid w:val="00637E00"/>
    <w:rsid w:val="006401C6"/>
    <w:rsid w:val="00640207"/>
    <w:rsid w:val="00640222"/>
    <w:rsid w:val="0064080A"/>
    <w:rsid w:val="006409F3"/>
    <w:rsid w:val="00640B73"/>
    <w:rsid w:val="00641061"/>
    <w:rsid w:val="006411DF"/>
    <w:rsid w:val="006419ED"/>
    <w:rsid w:val="006424E3"/>
    <w:rsid w:val="006427DE"/>
    <w:rsid w:val="00642D10"/>
    <w:rsid w:val="00642E65"/>
    <w:rsid w:val="00642E9F"/>
    <w:rsid w:val="006430D5"/>
    <w:rsid w:val="00643769"/>
    <w:rsid w:val="006437D5"/>
    <w:rsid w:val="00643891"/>
    <w:rsid w:val="00643DCD"/>
    <w:rsid w:val="00643DD1"/>
    <w:rsid w:val="00644200"/>
    <w:rsid w:val="0064428B"/>
    <w:rsid w:val="006443C6"/>
    <w:rsid w:val="00644511"/>
    <w:rsid w:val="0064486C"/>
    <w:rsid w:val="00644E60"/>
    <w:rsid w:val="00645190"/>
    <w:rsid w:val="00645ACC"/>
    <w:rsid w:val="0064615B"/>
    <w:rsid w:val="006466B5"/>
    <w:rsid w:val="006477A7"/>
    <w:rsid w:val="00647BB6"/>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273"/>
    <w:rsid w:val="00655780"/>
    <w:rsid w:val="0065594D"/>
    <w:rsid w:val="006561FF"/>
    <w:rsid w:val="00656D6F"/>
    <w:rsid w:val="00656FA1"/>
    <w:rsid w:val="00657005"/>
    <w:rsid w:val="006572FB"/>
    <w:rsid w:val="00657498"/>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10B"/>
    <w:rsid w:val="006725CC"/>
    <w:rsid w:val="0067273D"/>
    <w:rsid w:val="00672966"/>
    <w:rsid w:val="00672A48"/>
    <w:rsid w:val="00672E1F"/>
    <w:rsid w:val="00672F51"/>
    <w:rsid w:val="0067333F"/>
    <w:rsid w:val="006735BC"/>
    <w:rsid w:val="006736BD"/>
    <w:rsid w:val="00673BDE"/>
    <w:rsid w:val="00673EB7"/>
    <w:rsid w:val="00673FBF"/>
    <w:rsid w:val="006740F1"/>
    <w:rsid w:val="0067439E"/>
    <w:rsid w:val="00674460"/>
    <w:rsid w:val="00675376"/>
    <w:rsid w:val="006754D4"/>
    <w:rsid w:val="00675652"/>
    <w:rsid w:val="006758E5"/>
    <w:rsid w:val="00675ECB"/>
    <w:rsid w:val="0067649C"/>
    <w:rsid w:val="006767B8"/>
    <w:rsid w:val="00677725"/>
    <w:rsid w:val="00677F10"/>
    <w:rsid w:val="0068013A"/>
    <w:rsid w:val="00680346"/>
    <w:rsid w:val="0068079C"/>
    <w:rsid w:val="00680A97"/>
    <w:rsid w:val="00680F30"/>
    <w:rsid w:val="00680F81"/>
    <w:rsid w:val="0068102D"/>
    <w:rsid w:val="00681254"/>
    <w:rsid w:val="00681307"/>
    <w:rsid w:val="00681F4E"/>
    <w:rsid w:val="006820C0"/>
    <w:rsid w:val="0068226B"/>
    <w:rsid w:val="00682ACE"/>
    <w:rsid w:val="00682E47"/>
    <w:rsid w:val="00682ED3"/>
    <w:rsid w:val="006839BA"/>
    <w:rsid w:val="00683D7F"/>
    <w:rsid w:val="00683E9E"/>
    <w:rsid w:val="00684258"/>
    <w:rsid w:val="006845C9"/>
    <w:rsid w:val="006853FF"/>
    <w:rsid w:val="00685646"/>
    <w:rsid w:val="00685725"/>
    <w:rsid w:val="00685834"/>
    <w:rsid w:val="00685D3B"/>
    <w:rsid w:val="00685DB7"/>
    <w:rsid w:val="0068623E"/>
    <w:rsid w:val="00686366"/>
    <w:rsid w:val="0068653A"/>
    <w:rsid w:val="006865A6"/>
    <w:rsid w:val="00686644"/>
    <w:rsid w:val="00686A14"/>
    <w:rsid w:val="00686FAD"/>
    <w:rsid w:val="0068721F"/>
    <w:rsid w:val="006878B2"/>
    <w:rsid w:val="00687A10"/>
    <w:rsid w:val="00690D12"/>
    <w:rsid w:val="00690F0E"/>
    <w:rsid w:val="006919C5"/>
    <w:rsid w:val="00692200"/>
    <w:rsid w:val="00692799"/>
    <w:rsid w:val="006927F0"/>
    <w:rsid w:val="00692982"/>
    <w:rsid w:val="00692A0D"/>
    <w:rsid w:val="00692BDC"/>
    <w:rsid w:val="00693077"/>
    <w:rsid w:val="00693295"/>
    <w:rsid w:val="00693529"/>
    <w:rsid w:val="006935E1"/>
    <w:rsid w:val="00693872"/>
    <w:rsid w:val="00693A5C"/>
    <w:rsid w:val="00693F0A"/>
    <w:rsid w:val="00694283"/>
    <w:rsid w:val="0069447C"/>
    <w:rsid w:val="006949AD"/>
    <w:rsid w:val="00694E1F"/>
    <w:rsid w:val="00696244"/>
    <w:rsid w:val="006969D6"/>
    <w:rsid w:val="00696B6A"/>
    <w:rsid w:val="00696DD1"/>
    <w:rsid w:val="0069755C"/>
    <w:rsid w:val="0069771A"/>
    <w:rsid w:val="006979DC"/>
    <w:rsid w:val="00697C2C"/>
    <w:rsid w:val="00697DCF"/>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0B2"/>
    <w:rsid w:val="006A3227"/>
    <w:rsid w:val="006A3396"/>
    <w:rsid w:val="006A3F94"/>
    <w:rsid w:val="006A40D0"/>
    <w:rsid w:val="006A4113"/>
    <w:rsid w:val="006A444A"/>
    <w:rsid w:val="006A49B5"/>
    <w:rsid w:val="006A4C6C"/>
    <w:rsid w:val="006A4F1A"/>
    <w:rsid w:val="006A4FF3"/>
    <w:rsid w:val="006A5985"/>
    <w:rsid w:val="006A5A45"/>
    <w:rsid w:val="006A5CA3"/>
    <w:rsid w:val="006A5D5C"/>
    <w:rsid w:val="006A5E26"/>
    <w:rsid w:val="006A5F67"/>
    <w:rsid w:val="006A6B3F"/>
    <w:rsid w:val="006A6B69"/>
    <w:rsid w:val="006A74C0"/>
    <w:rsid w:val="006A7574"/>
    <w:rsid w:val="006B0489"/>
    <w:rsid w:val="006B05F5"/>
    <w:rsid w:val="006B0A30"/>
    <w:rsid w:val="006B0FC1"/>
    <w:rsid w:val="006B1213"/>
    <w:rsid w:val="006B154B"/>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11A"/>
    <w:rsid w:val="006B6346"/>
    <w:rsid w:val="006B6AD0"/>
    <w:rsid w:val="006B6BA3"/>
    <w:rsid w:val="006B6C83"/>
    <w:rsid w:val="006B6C95"/>
    <w:rsid w:val="006B725C"/>
    <w:rsid w:val="006B7864"/>
    <w:rsid w:val="006C03B2"/>
    <w:rsid w:val="006C09DD"/>
    <w:rsid w:val="006C0B08"/>
    <w:rsid w:val="006C0E0B"/>
    <w:rsid w:val="006C1142"/>
    <w:rsid w:val="006C1A29"/>
    <w:rsid w:val="006C1B3F"/>
    <w:rsid w:val="006C1F77"/>
    <w:rsid w:val="006C22BD"/>
    <w:rsid w:val="006C2604"/>
    <w:rsid w:val="006C3309"/>
    <w:rsid w:val="006C375B"/>
    <w:rsid w:val="006C3B2C"/>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E98"/>
    <w:rsid w:val="006D1F1A"/>
    <w:rsid w:val="006D2039"/>
    <w:rsid w:val="006D21FF"/>
    <w:rsid w:val="006D31AF"/>
    <w:rsid w:val="006D31DD"/>
    <w:rsid w:val="006D3502"/>
    <w:rsid w:val="006D35CD"/>
    <w:rsid w:val="006D3CC3"/>
    <w:rsid w:val="006D3D01"/>
    <w:rsid w:val="006D4133"/>
    <w:rsid w:val="006D4373"/>
    <w:rsid w:val="006D47A9"/>
    <w:rsid w:val="006D492A"/>
    <w:rsid w:val="006D493C"/>
    <w:rsid w:val="006D5457"/>
    <w:rsid w:val="006D56B0"/>
    <w:rsid w:val="006D59BF"/>
    <w:rsid w:val="006D5A62"/>
    <w:rsid w:val="006D5EC2"/>
    <w:rsid w:val="006D5FEF"/>
    <w:rsid w:val="006D667A"/>
    <w:rsid w:val="006D70CF"/>
    <w:rsid w:val="006D72E1"/>
    <w:rsid w:val="006D74C9"/>
    <w:rsid w:val="006D7598"/>
    <w:rsid w:val="006D7B93"/>
    <w:rsid w:val="006D7BBD"/>
    <w:rsid w:val="006D7C30"/>
    <w:rsid w:val="006D7D69"/>
    <w:rsid w:val="006D7DAD"/>
    <w:rsid w:val="006D7EC6"/>
    <w:rsid w:val="006E0113"/>
    <w:rsid w:val="006E0566"/>
    <w:rsid w:val="006E0B16"/>
    <w:rsid w:val="006E1135"/>
    <w:rsid w:val="006E1469"/>
    <w:rsid w:val="006E176F"/>
    <w:rsid w:val="006E1C34"/>
    <w:rsid w:val="006E1E45"/>
    <w:rsid w:val="006E22CC"/>
    <w:rsid w:val="006E3D3A"/>
    <w:rsid w:val="006E3EA2"/>
    <w:rsid w:val="006E4646"/>
    <w:rsid w:val="006E512D"/>
    <w:rsid w:val="006E5477"/>
    <w:rsid w:val="006E554E"/>
    <w:rsid w:val="006E5AFE"/>
    <w:rsid w:val="006E696A"/>
    <w:rsid w:val="006E6C33"/>
    <w:rsid w:val="006E6F03"/>
    <w:rsid w:val="006E71A8"/>
    <w:rsid w:val="006E7496"/>
    <w:rsid w:val="006E7883"/>
    <w:rsid w:val="006E7969"/>
    <w:rsid w:val="006E7C05"/>
    <w:rsid w:val="006E7E49"/>
    <w:rsid w:val="006E7F71"/>
    <w:rsid w:val="006F0209"/>
    <w:rsid w:val="006F05C2"/>
    <w:rsid w:val="006F090B"/>
    <w:rsid w:val="006F0C12"/>
    <w:rsid w:val="006F0DB2"/>
    <w:rsid w:val="006F0E38"/>
    <w:rsid w:val="006F0EB1"/>
    <w:rsid w:val="006F13B3"/>
    <w:rsid w:val="006F1D86"/>
    <w:rsid w:val="006F1E30"/>
    <w:rsid w:val="006F20A6"/>
    <w:rsid w:val="006F20A7"/>
    <w:rsid w:val="006F291E"/>
    <w:rsid w:val="006F3052"/>
    <w:rsid w:val="006F314D"/>
    <w:rsid w:val="006F3B01"/>
    <w:rsid w:val="006F3C66"/>
    <w:rsid w:val="006F4189"/>
    <w:rsid w:val="006F42A4"/>
    <w:rsid w:val="006F468E"/>
    <w:rsid w:val="006F52C0"/>
    <w:rsid w:val="006F557B"/>
    <w:rsid w:val="006F5674"/>
    <w:rsid w:val="006F5B41"/>
    <w:rsid w:val="006F6689"/>
    <w:rsid w:val="006F6740"/>
    <w:rsid w:val="006F6FEA"/>
    <w:rsid w:val="006F70E1"/>
    <w:rsid w:val="006F7427"/>
    <w:rsid w:val="006F746D"/>
    <w:rsid w:val="006F77F9"/>
    <w:rsid w:val="006F7A6B"/>
    <w:rsid w:val="006F7A92"/>
    <w:rsid w:val="006F7E42"/>
    <w:rsid w:val="00700042"/>
    <w:rsid w:val="0070013F"/>
    <w:rsid w:val="0070023A"/>
    <w:rsid w:val="00700531"/>
    <w:rsid w:val="0070063F"/>
    <w:rsid w:val="0070124B"/>
    <w:rsid w:val="00701405"/>
    <w:rsid w:val="007017EA"/>
    <w:rsid w:val="0070181F"/>
    <w:rsid w:val="0070193E"/>
    <w:rsid w:val="00701B27"/>
    <w:rsid w:val="00701F97"/>
    <w:rsid w:val="007022D3"/>
    <w:rsid w:val="00702711"/>
    <w:rsid w:val="0070285B"/>
    <w:rsid w:val="00702B1A"/>
    <w:rsid w:val="007032E6"/>
    <w:rsid w:val="007036E5"/>
    <w:rsid w:val="00703D8A"/>
    <w:rsid w:val="00704123"/>
    <w:rsid w:val="00704641"/>
    <w:rsid w:val="007047A7"/>
    <w:rsid w:val="007047FA"/>
    <w:rsid w:val="007050A6"/>
    <w:rsid w:val="007056ED"/>
    <w:rsid w:val="00705BD7"/>
    <w:rsid w:val="00705D28"/>
    <w:rsid w:val="00706AC2"/>
    <w:rsid w:val="007072C8"/>
    <w:rsid w:val="0070743B"/>
    <w:rsid w:val="0070777B"/>
    <w:rsid w:val="00707CC2"/>
    <w:rsid w:val="00707EC9"/>
    <w:rsid w:val="007101EE"/>
    <w:rsid w:val="00710994"/>
    <w:rsid w:val="007109CD"/>
    <w:rsid w:val="00710A3E"/>
    <w:rsid w:val="00710D33"/>
    <w:rsid w:val="00710FBE"/>
    <w:rsid w:val="0071127B"/>
    <w:rsid w:val="00711760"/>
    <w:rsid w:val="00711797"/>
    <w:rsid w:val="007117AA"/>
    <w:rsid w:val="0071181D"/>
    <w:rsid w:val="0071196B"/>
    <w:rsid w:val="00711A0F"/>
    <w:rsid w:val="00711AE4"/>
    <w:rsid w:val="00711B30"/>
    <w:rsid w:val="00711D10"/>
    <w:rsid w:val="00711D73"/>
    <w:rsid w:val="00711E68"/>
    <w:rsid w:val="00712202"/>
    <w:rsid w:val="007124B9"/>
    <w:rsid w:val="00712A0F"/>
    <w:rsid w:val="00712FDB"/>
    <w:rsid w:val="00713067"/>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0C24"/>
    <w:rsid w:val="007215A9"/>
    <w:rsid w:val="0072190B"/>
    <w:rsid w:val="00721CB7"/>
    <w:rsid w:val="00721DB3"/>
    <w:rsid w:val="00721E1D"/>
    <w:rsid w:val="00722260"/>
    <w:rsid w:val="00722809"/>
    <w:rsid w:val="0072298B"/>
    <w:rsid w:val="00722B72"/>
    <w:rsid w:val="00722BD3"/>
    <w:rsid w:val="00722F80"/>
    <w:rsid w:val="00723099"/>
    <w:rsid w:val="007233B6"/>
    <w:rsid w:val="0072350B"/>
    <w:rsid w:val="007238F1"/>
    <w:rsid w:val="00724205"/>
    <w:rsid w:val="00724426"/>
    <w:rsid w:val="00724437"/>
    <w:rsid w:val="007244BA"/>
    <w:rsid w:val="007245F9"/>
    <w:rsid w:val="0072461A"/>
    <w:rsid w:val="00724D60"/>
    <w:rsid w:val="00724FCF"/>
    <w:rsid w:val="00725068"/>
    <w:rsid w:val="0072510B"/>
    <w:rsid w:val="0072560E"/>
    <w:rsid w:val="00725879"/>
    <w:rsid w:val="00725CB6"/>
    <w:rsid w:val="00725CDC"/>
    <w:rsid w:val="00726088"/>
    <w:rsid w:val="007261C5"/>
    <w:rsid w:val="00726281"/>
    <w:rsid w:val="0072650B"/>
    <w:rsid w:val="00726537"/>
    <w:rsid w:val="0072665F"/>
    <w:rsid w:val="007273EC"/>
    <w:rsid w:val="007279F1"/>
    <w:rsid w:val="00727E9F"/>
    <w:rsid w:val="00730BCB"/>
    <w:rsid w:val="00730F0F"/>
    <w:rsid w:val="0073128B"/>
    <w:rsid w:val="0073150C"/>
    <w:rsid w:val="0073171A"/>
    <w:rsid w:val="007325D3"/>
    <w:rsid w:val="00732885"/>
    <w:rsid w:val="00732C7F"/>
    <w:rsid w:val="00733858"/>
    <w:rsid w:val="00733A80"/>
    <w:rsid w:val="00734310"/>
    <w:rsid w:val="0073487C"/>
    <w:rsid w:val="0073497A"/>
    <w:rsid w:val="00734FE4"/>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9CA"/>
    <w:rsid w:val="00742A51"/>
    <w:rsid w:val="00743468"/>
    <w:rsid w:val="007435B1"/>
    <w:rsid w:val="007436B1"/>
    <w:rsid w:val="007436D5"/>
    <w:rsid w:val="00743867"/>
    <w:rsid w:val="00743C10"/>
    <w:rsid w:val="00744055"/>
    <w:rsid w:val="0074443A"/>
    <w:rsid w:val="0074462D"/>
    <w:rsid w:val="0074475B"/>
    <w:rsid w:val="00744E4F"/>
    <w:rsid w:val="00744E5D"/>
    <w:rsid w:val="0074544C"/>
    <w:rsid w:val="0074576E"/>
    <w:rsid w:val="0074587B"/>
    <w:rsid w:val="007458E7"/>
    <w:rsid w:val="00745EBB"/>
    <w:rsid w:val="00746167"/>
    <w:rsid w:val="00746199"/>
    <w:rsid w:val="00746D90"/>
    <w:rsid w:val="00747446"/>
    <w:rsid w:val="007475BE"/>
    <w:rsid w:val="00747A99"/>
    <w:rsid w:val="00747BD8"/>
    <w:rsid w:val="00747F05"/>
    <w:rsid w:val="0075038A"/>
    <w:rsid w:val="007503B7"/>
    <w:rsid w:val="007503D8"/>
    <w:rsid w:val="007505B8"/>
    <w:rsid w:val="0075076E"/>
    <w:rsid w:val="007509F9"/>
    <w:rsid w:val="00750ACC"/>
    <w:rsid w:val="00751B32"/>
    <w:rsid w:val="00751F76"/>
    <w:rsid w:val="00751FD1"/>
    <w:rsid w:val="00752497"/>
    <w:rsid w:val="007524E2"/>
    <w:rsid w:val="007528CF"/>
    <w:rsid w:val="00752FE7"/>
    <w:rsid w:val="00753F01"/>
    <w:rsid w:val="0075412E"/>
    <w:rsid w:val="007545E6"/>
    <w:rsid w:val="00754747"/>
    <w:rsid w:val="00754C1A"/>
    <w:rsid w:val="00754D64"/>
    <w:rsid w:val="00754FCC"/>
    <w:rsid w:val="007552E2"/>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C4C"/>
    <w:rsid w:val="00760D79"/>
    <w:rsid w:val="0076116A"/>
    <w:rsid w:val="007613AF"/>
    <w:rsid w:val="0076145C"/>
    <w:rsid w:val="007619FB"/>
    <w:rsid w:val="00761A37"/>
    <w:rsid w:val="00761E3C"/>
    <w:rsid w:val="0076200C"/>
    <w:rsid w:val="00762924"/>
    <w:rsid w:val="0076295C"/>
    <w:rsid w:val="00762FA7"/>
    <w:rsid w:val="00763055"/>
    <w:rsid w:val="00763432"/>
    <w:rsid w:val="00763448"/>
    <w:rsid w:val="00763EB7"/>
    <w:rsid w:val="00764043"/>
    <w:rsid w:val="00764801"/>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6F2"/>
    <w:rsid w:val="007728F4"/>
    <w:rsid w:val="00772D15"/>
    <w:rsid w:val="00772DC3"/>
    <w:rsid w:val="007733C4"/>
    <w:rsid w:val="00773EC7"/>
    <w:rsid w:val="0077404A"/>
    <w:rsid w:val="007743A1"/>
    <w:rsid w:val="007744EF"/>
    <w:rsid w:val="00775662"/>
    <w:rsid w:val="0077594D"/>
    <w:rsid w:val="00775BAA"/>
    <w:rsid w:val="00775C35"/>
    <w:rsid w:val="00775EFD"/>
    <w:rsid w:val="00775F11"/>
    <w:rsid w:val="00776351"/>
    <w:rsid w:val="00776679"/>
    <w:rsid w:val="007768F2"/>
    <w:rsid w:val="00776C10"/>
    <w:rsid w:val="00776E9E"/>
    <w:rsid w:val="00776F98"/>
    <w:rsid w:val="00777053"/>
    <w:rsid w:val="007775DE"/>
    <w:rsid w:val="00777A30"/>
    <w:rsid w:val="00777A4B"/>
    <w:rsid w:val="00777B46"/>
    <w:rsid w:val="00777EE9"/>
    <w:rsid w:val="00780980"/>
    <w:rsid w:val="007809E1"/>
    <w:rsid w:val="00780A03"/>
    <w:rsid w:val="00780AF4"/>
    <w:rsid w:val="00780F3D"/>
    <w:rsid w:val="0078146E"/>
    <w:rsid w:val="00781494"/>
    <w:rsid w:val="0078165E"/>
    <w:rsid w:val="007816FD"/>
    <w:rsid w:val="00781B9A"/>
    <w:rsid w:val="00781BC7"/>
    <w:rsid w:val="00781DAD"/>
    <w:rsid w:val="00782188"/>
    <w:rsid w:val="0078243D"/>
    <w:rsid w:val="00782A37"/>
    <w:rsid w:val="00782D8A"/>
    <w:rsid w:val="007833C3"/>
    <w:rsid w:val="007837BE"/>
    <w:rsid w:val="0078380D"/>
    <w:rsid w:val="00784112"/>
    <w:rsid w:val="007842FE"/>
    <w:rsid w:val="0078440C"/>
    <w:rsid w:val="00784702"/>
    <w:rsid w:val="00784C31"/>
    <w:rsid w:val="00784D48"/>
    <w:rsid w:val="00784E91"/>
    <w:rsid w:val="00784EA1"/>
    <w:rsid w:val="00784ECF"/>
    <w:rsid w:val="00784FC7"/>
    <w:rsid w:val="00785050"/>
    <w:rsid w:val="007859E1"/>
    <w:rsid w:val="00785AF5"/>
    <w:rsid w:val="0078618F"/>
    <w:rsid w:val="007861D1"/>
    <w:rsid w:val="00786272"/>
    <w:rsid w:val="007864B2"/>
    <w:rsid w:val="007864F6"/>
    <w:rsid w:val="00786620"/>
    <w:rsid w:val="0078681A"/>
    <w:rsid w:val="007868B7"/>
    <w:rsid w:val="00786BC0"/>
    <w:rsid w:val="00786E22"/>
    <w:rsid w:val="007875E7"/>
    <w:rsid w:val="00787736"/>
    <w:rsid w:val="00787A55"/>
    <w:rsid w:val="00787FF1"/>
    <w:rsid w:val="0079032C"/>
    <w:rsid w:val="00790865"/>
    <w:rsid w:val="00791190"/>
    <w:rsid w:val="007916D2"/>
    <w:rsid w:val="00791866"/>
    <w:rsid w:val="00791ADE"/>
    <w:rsid w:val="00791BE9"/>
    <w:rsid w:val="00791BEA"/>
    <w:rsid w:val="007926B7"/>
    <w:rsid w:val="00792878"/>
    <w:rsid w:val="00792AD3"/>
    <w:rsid w:val="00792BEC"/>
    <w:rsid w:val="00792ECC"/>
    <w:rsid w:val="00793319"/>
    <w:rsid w:val="00793774"/>
    <w:rsid w:val="00793901"/>
    <w:rsid w:val="007939C7"/>
    <w:rsid w:val="00793F70"/>
    <w:rsid w:val="007947FB"/>
    <w:rsid w:val="00794DFE"/>
    <w:rsid w:val="007954AC"/>
    <w:rsid w:val="00795804"/>
    <w:rsid w:val="00795809"/>
    <w:rsid w:val="00795BA6"/>
    <w:rsid w:val="0079601B"/>
    <w:rsid w:val="007962E1"/>
    <w:rsid w:val="0079667C"/>
    <w:rsid w:val="00796B15"/>
    <w:rsid w:val="007977CE"/>
    <w:rsid w:val="00797974"/>
    <w:rsid w:val="00797DAA"/>
    <w:rsid w:val="00797FCF"/>
    <w:rsid w:val="007A0616"/>
    <w:rsid w:val="007A0BDA"/>
    <w:rsid w:val="007A0CDD"/>
    <w:rsid w:val="007A0D0D"/>
    <w:rsid w:val="007A0DAC"/>
    <w:rsid w:val="007A1189"/>
    <w:rsid w:val="007A15BA"/>
    <w:rsid w:val="007A16E9"/>
    <w:rsid w:val="007A1B63"/>
    <w:rsid w:val="007A22D6"/>
    <w:rsid w:val="007A238B"/>
    <w:rsid w:val="007A2BFF"/>
    <w:rsid w:val="007A2D56"/>
    <w:rsid w:val="007A3226"/>
    <w:rsid w:val="007A32E9"/>
    <w:rsid w:val="007A3395"/>
    <w:rsid w:val="007A3505"/>
    <w:rsid w:val="007A3BF2"/>
    <w:rsid w:val="007A4338"/>
    <w:rsid w:val="007A4AF1"/>
    <w:rsid w:val="007A4BD0"/>
    <w:rsid w:val="007A5288"/>
    <w:rsid w:val="007A5639"/>
    <w:rsid w:val="007A5C80"/>
    <w:rsid w:val="007A5F87"/>
    <w:rsid w:val="007A6053"/>
    <w:rsid w:val="007A618D"/>
    <w:rsid w:val="007A6256"/>
    <w:rsid w:val="007A6333"/>
    <w:rsid w:val="007A6477"/>
    <w:rsid w:val="007A650C"/>
    <w:rsid w:val="007A66F1"/>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1FCE"/>
    <w:rsid w:val="007B2074"/>
    <w:rsid w:val="007B21FA"/>
    <w:rsid w:val="007B2638"/>
    <w:rsid w:val="007B2BB1"/>
    <w:rsid w:val="007B3476"/>
    <w:rsid w:val="007B448A"/>
    <w:rsid w:val="007B44DC"/>
    <w:rsid w:val="007B4543"/>
    <w:rsid w:val="007B4937"/>
    <w:rsid w:val="007B4D3D"/>
    <w:rsid w:val="007B550D"/>
    <w:rsid w:val="007B56F0"/>
    <w:rsid w:val="007B5A66"/>
    <w:rsid w:val="007B630D"/>
    <w:rsid w:val="007B645F"/>
    <w:rsid w:val="007B6B0D"/>
    <w:rsid w:val="007B77FB"/>
    <w:rsid w:val="007B7D50"/>
    <w:rsid w:val="007B7D58"/>
    <w:rsid w:val="007B7E59"/>
    <w:rsid w:val="007C0880"/>
    <w:rsid w:val="007C0AE5"/>
    <w:rsid w:val="007C0BD2"/>
    <w:rsid w:val="007C0F3A"/>
    <w:rsid w:val="007C0FA1"/>
    <w:rsid w:val="007C1065"/>
    <w:rsid w:val="007C14BD"/>
    <w:rsid w:val="007C1537"/>
    <w:rsid w:val="007C15C1"/>
    <w:rsid w:val="007C198E"/>
    <w:rsid w:val="007C1B94"/>
    <w:rsid w:val="007C1C90"/>
    <w:rsid w:val="007C22E6"/>
    <w:rsid w:val="007C24DB"/>
    <w:rsid w:val="007C26FF"/>
    <w:rsid w:val="007C2A39"/>
    <w:rsid w:val="007C2AAF"/>
    <w:rsid w:val="007C2AF9"/>
    <w:rsid w:val="007C301B"/>
    <w:rsid w:val="007C3C91"/>
    <w:rsid w:val="007C3D88"/>
    <w:rsid w:val="007C3EE5"/>
    <w:rsid w:val="007C3F14"/>
    <w:rsid w:val="007C403F"/>
    <w:rsid w:val="007C450E"/>
    <w:rsid w:val="007C46E3"/>
    <w:rsid w:val="007C508D"/>
    <w:rsid w:val="007C515A"/>
    <w:rsid w:val="007C52ED"/>
    <w:rsid w:val="007C52F0"/>
    <w:rsid w:val="007C56CE"/>
    <w:rsid w:val="007C5C75"/>
    <w:rsid w:val="007C5CE6"/>
    <w:rsid w:val="007C5DB6"/>
    <w:rsid w:val="007C64BC"/>
    <w:rsid w:val="007C67D6"/>
    <w:rsid w:val="007C6939"/>
    <w:rsid w:val="007C6941"/>
    <w:rsid w:val="007C6D8A"/>
    <w:rsid w:val="007C6E75"/>
    <w:rsid w:val="007C7367"/>
    <w:rsid w:val="007C7578"/>
    <w:rsid w:val="007C779D"/>
    <w:rsid w:val="007C7EF3"/>
    <w:rsid w:val="007D020B"/>
    <w:rsid w:val="007D02A6"/>
    <w:rsid w:val="007D0640"/>
    <w:rsid w:val="007D0645"/>
    <w:rsid w:val="007D098C"/>
    <w:rsid w:val="007D11B6"/>
    <w:rsid w:val="007D149C"/>
    <w:rsid w:val="007D163B"/>
    <w:rsid w:val="007D1B2B"/>
    <w:rsid w:val="007D1B7C"/>
    <w:rsid w:val="007D214A"/>
    <w:rsid w:val="007D2C03"/>
    <w:rsid w:val="007D357E"/>
    <w:rsid w:val="007D3889"/>
    <w:rsid w:val="007D39D7"/>
    <w:rsid w:val="007D3A2F"/>
    <w:rsid w:val="007D478D"/>
    <w:rsid w:val="007D4838"/>
    <w:rsid w:val="007D4940"/>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D7E90"/>
    <w:rsid w:val="007E0162"/>
    <w:rsid w:val="007E052D"/>
    <w:rsid w:val="007E05CC"/>
    <w:rsid w:val="007E08F5"/>
    <w:rsid w:val="007E0986"/>
    <w:rsid w:val="007E0C8C"/>
    <w:rsid w:val="007E0DBF"/>
    <w:rsid w:val="007E0E84"/>
    <w:rsid w:val="007E1479"/>
    <w:rsid w:val="007E16A6"/>
    <w:rsid w:val="007E178E"/>
    <w:rsid w:val="007E1A55"/>
    <w:rsid w:val="007E1CB1"/>
    <w:rsid w:val="007E1EBF"/>
    <w:rsid w:val="007E1FA7"/>
    <w:rsid w:val="007E201B"/>
    <w:rsid w:val="007E2146"/>
    <w:rsid w:val="007E2484"/>
    <w:rsid w:val="007E2B64"/>
    <w:rsid w:val="007E2B9D"/>
    <w:rsid w:val="007E311B"/>
    <w:rsid w:val="007E3182"/>
    <w:rsid w:val="007E36F8"/>
    <w:rsid w:val="007E42F2"/>
    <w:rsid w:val="007E4653"/>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225"/>
    <w:rsid w:val="007F3507"/>
    <w:rsid w:val="007F3960"/>
    <w:rsid w:val="007F3F4E"/>
    <w:rsid w:val="007F3FB0"/>
    <w:rsid w:val="007F42D5"/>
    <w:rsid w:val="007F43A9"/>
    <w:rsid w:val="007F43E8"/>
    <w:rsid w:val="007F4FEA"/>
    <w:rsid w:val="007F54CD"/>
    <w:rsid w:val="007F5605"/>
    <w:rsid w:val="007F5608"/>
    <w:rsid w:val="007F5874"/>
    <w:rsid w:val="007F5D4A"/>
    <w:rsid w:val="007F6020"/>
    <w:rsid w:val="007F6562"/>
    <w:rsid w:val="007F65F2"/>
    <w:rsid w:val="007F6772"/>
    <w:rsid w:val="007F6AD2"/>
    <w:rsid w:val="007F702D"/>
    <w:rsid w:val="007F70D6"/>
    <w:rsid w:val="007F7237"/>
    <w:rsid w:val="007F7723"/>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30D"/>
    <w:rsid w:val="00802410"/>
    <w:rsid w:val="0080270F"/>
    <w:rsid w:val="00802B69"/>
    <w:rsid w:val="00802C27"/>
    <w:rsid w:val="00802FDA"/>
    <w:rsid w:val="00803160"/>
    <w:rsid w:val="008036F8"/>
    <w:rsid w:val="00803905"/>
    <w:rsid w:val="0080397E"/>
    <w:rsid w:val="00803E2E"/>
    <w:rsid w:val="00803FD6"/>
    <w:rsid w:val="008041E1"/>
    <w:rsid w:val="00804867"/>
    <w:rsid w:val="00804B2F"/>
    <w:rsid w:val="00804B56"/>
    <w:rsid w:val="00804ECF"/>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07F6F"/>
    <w:rsid w:val="008100D3"/>
    <w:rsid w:val="0081012C"/>
    <w:rsid w:val="008103E8"/>
    <w:rsid w:val="00810DE9"/>
    <w:rsid w:val="00810EAE"/>
    <w:rsid w:val="00811036"/>
    <w:rsid w:val="0081197B"/>
    <w:rsid w:val="00812027"/>
    <w:rsid w:val="008123D5"/>
    <w:rsid w:val="008124FE"/>
    <w:rsid w:val="008127B0"/>
    <w:rsid w:val="00812FE3"/>
    <w:rsid w:val="0081362C"/>
    <w:rsid w:val="00813CE0"/>
    <w:rsid w:val="00814072"/>
    <w:rsid w:val="0081412D"/>
    <w:rsid w:val="008142CD"/>
    <w:rsid w:val="0081433F"/>
    <w:rsid w:val="00814500"/>
    <w:rsid w:val="008145DC"/>
    <w:rsid w:val="00814B38"/>
    <w:rsid w:val="00814B65"/>
    <w:rsid w:val="00814BD6"/>
    <w:rsid w:val="00814D2B"/>
    <w:rsid w:val="00814E13"/>
    <w:rsid w:val="008151F0"/>
    <w:rsid w:val="0081529F"/>
    <w:rsid w:val="008153F0"/>
    <w:rsid w:val="008154B6"/>
    <w:rsid w:val="0081555D"/>
    <w:rsid w:val="008155E8"/>
    <w:rsid w:val="00815706"/>
    <w:rsid w:val="00815ADA"/>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58C"/>
    <w:rsid w:val="008216E2"/>
    <w:rsid w:val="0082172C"/>
    <w:rsid w:val="00821773"/>
    <w:rsid w:val="008219C7"/>
    <w:rsid w:val="00821A22"/>
    <w:rsid w:val="00821DC0"/>
    <w:rsid w:val="00822131"/>
    <w:rsid w:val="008232FF"/>
    <w:rsid w:val="00823335"/>
    <w:rsid w:val="008234CB"/>
    <w:rsid w:val="008235E4"/>
    <w:rsid w:val="008237B2"/>
    <w:rsid w:val="00823B2A"/>
    <w:rsid w:val="00823F61"/>
    <w:rsid w:val="008241F2"/>
    <w:rsid w:val="0082449E"/>
    <w:rsid w:val="008247A4"/>
    <w:rsid w:val="008249FF"/>
    <w:rsid w:val="008251EC"/>
    <w:rsid w:val="00825247"/>
    <w:rsid w:val="00825511"/>
    <w:rsid w:val="00825599"/>
    <w:rsid w:val="00825693"/>
    <w:rsid w:val="00825EEF"/>
    <w:rsid w:val="00826204"/>
    <w:rsid w:val="008263E0"/>
    <w:rsid w:val="00826D90"/>
    <w:rsid w:val="00826F26"/>
    <w:rsid w:val="00827015"/>
    <w:rsid w:val="00827109"/>
    <w:rsid w:val="008272E9"/>
    <w:rsid w:val="00827A41"/>
    <w:rsid w:val="00827AF3"/>
    <w:rsid w:val="00830903"/>
    <w:rsid w:val="00830DD5"/>
    <w:rsid w:val="008312D0"/>
    <w:rsid w:val="0083179C"/>
    <w:rsid w:val="00832142"/>
    <w:rsid w:val="00832C18"/>
    <w:rsid w:val="00832CAF"/>
    <w:rsid w:val="0083311A"/>
    <w:rsid w:val="008331BB"/>
    <w:rsid w:val="008333BB"/>
    <w:rsid w:val="00833D14"/>
    <w:rsid w:val="0083417A"/>
    <w:rsid w:val="00834512"/>
    <w:rsid w:val="008349E7"/>
    <w:rsid w:val="0083502E"/>
    <w:rsid w:val="008350E9"/>
    <w:rsid w:val="008356AA"/>
    <w:rsid w:val="00835A6E"/>
    <w:rsid w:val="00835B82"/>
    <w:rsid w:val="00836133"/>
    <w:rsid w:val="0083657B"/>
    <w:rsid w:val="00836916"/>
    <w:rsid w:val="00836B5B"/>
    <w:rsid w:val="0083768C"/>
    <w:rsid w:val="00837E87"/>
    <w:rsid w:val="008400F9"/>
    <w:rsid w:val="008401C3"/>
    <w:rsid w:val="008404D7"/>
    <w:rsid w:val="00840634"/>
    <w:rsid w:val="00840A68"/>
    <w:rsid w:val="00840A83"/>
    <w:rsid w:val="00840D46"/>
    <w:rsid w:val="00841547"/>
    <w:rsid w:val="00841573"/>
    <w:rsid w:val="0084166C"/>
    <w:rsid w:val="008419A1"/>
    <w:rsid w:val="00841EE6"/>
    <w:rsid w:val="00841FA0"/>
    <w:rsid w:val="00842061"/>
    <w:rsid w:val="00842186"/>
    <w:rsid w:val="0084239E"/>
    <w:rsid w:val="008425B6"/>
    <w:rsid w:val="0084296C"/>
    <w:rsid w:val="00842B49"/>
    <w:rsid w:val="00842DB7"/>
    <w:rsid w:val="0084387F"/>
    <w:rsid w:val="00843AFD"/>
    <w:rsid w:val="00843B2C"/>
    <w:rsid w:val="008444F8"/>
    <w:rsid w:val="008445D2"/>
    <w:rsid w:val="0084470D"/>
    <w:rsid w:val="00844750"/>
    <w:rsid w:val="00844864"/>
    <w:rsid w:val="00845A92"/>
    <w:rsid w:val="00845F51"/>
    <w:rsid w:val="00846106"/>
    <w:rsid w:val="00846273"/>
    <w:rsid w:val="00846467"/>
    <w:rsid w:val="00846661"/>
    <w:rsid w:val="008467CC"/>
    <w:rsid w:val="00846872"/>
    <w:rsid w:val="00846874"/>
    <w:rsid w:val="00846AC4"/>
    <w:rsid w:val="00846C70"/>
    <w:rsid w:val="00846C77"/>
    <w:rsid w:val="00846E99"/>
    <w:rsid w:val="008470A4"/>
    <w:rsid w:val="0084749D"/>
    <w:rsid w:val="00847964"/>
    <w:rsid w:val="00847991"/>
    <w:rsid w:val="00847C4E"/>
    <w:rsid w:val="00847F69"/>
    <w:rsid w:val="00850AE8"/>
    <w:rsid w:val="00850B13"/>
    <w:rsid w:val="00851B22"/>
    <w:rsid w:val="00852338"/>
    <w:rsid w:val="00852AA6"/>
    <w:rsid w:val="00852C2C"/>
    <w:rsid w:val="008539E3"/>
    <w:rsid w:val="00853C45"/>
    <w:rsid w:val="00854090"/>
    <w:rsid w:val="008540C8"/>
    <w:rsid w:val="00854983"/>
    <w:rsid w:val="00854A91"/>
    <w:rsid w:val="00854E0E"/>
    <w:rsid w:val="0085626D"/>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27"/>
    <w:rsid w:val="00861750"/>
    <w:rsid w:val="008617AB"/>
    <w:rsid w:val="008617BC"/>
    <w:rsid w:val="00861B41"/>
    <w:rsid w:val="00861D65"/>
    <w:rsid w:val="00861DA1"/>
    <w:rsid w:val="00862017"/>
    <w:rsid w:val="0086205D"/>
    <w:rsid w:val="008620C2"/>
    <w:rsid w:val="00862173"/>
    <w:rsid w:val="00862290"/>
    <w:rsid w:val="00862558"/>
    <w:rsid w:val="008626B0"/>
    <w:rsid w:val="00862988"/>
    <w:rsid w:val="00862A4E"/>
    <w:rsid w:val="00862BA2"/>
    <w:rsid w:val="00863096"/>
    <w:rsid w:val="0086329D"/>
    <w:rsid w:val="00863479"/>
    <w:rsid w:val="00863AA0"/>
    <w:rsid w:val="00864A9F"/>
    <w:rsid w:val="00864C02"/>
    <w:rsid w:val="008650AB"/>
    <w:rsid w:val="00865696"/>
    <w:rsid w:val="00865D02"/>
    <w:rsid w:val="00865D4C"/>
    <w:rsid w:val="00865DE1"/>
    <w:rsid w:val="008669FF"/>
    <w:rsid w:val="00866BFD"/>
    <w:rsid w:val="00866FEA"/>
    <w:rsid w:val="00867255"/>
    <w:rsid w:val="008678F0"/>
    <w:rsid w:val="00870018"/>
    <w:rsid w:val="00870161"/>
    <w:rsid w:val="00870637"/>
    <w:rsid w:val="00870793"/>
    <w:rsid w:val="008707D1"/>
    <w:rsid w:val="00870869"/>
    <w:rsid w:val="008708B4"/>
    <w:rsid w:val="00870A1C"/>
    <w:rsid w:val="00871029"/>
    <w:rsid w:val="00871096"/>
    <w:rsid w:val="00871171"/>
    <w:rsid w:val="008711F8"/>
    <w:rsid w:val="00871372"/>
    <w:rsid w:val="00871D14"/>
    <w:rsid w:val="008722B0"/>
    <w:rsid w:val="00872487"/>
    <w:rsid w:val="0087250F"/>
    <w:rsid w:val="00872B95"/>
    <w:rsid w:val="00872C7C"/>
    <w:rsid w:val="00872D63"/>
    <w:rsid w:val="00872F39"/>
    <w:rsid w:val="00873463"/>
    <w:rsid w:val="008734E7"/>
    <w:rsid w:val="00873BF0"/>
    <w:rsid w:val="00873C85"/>
    <w:rsid w:val="008742CE"/>
    <w:rsid w:val="00874E33"/>
    <w:rsid w:val="00874FAC"/>
    <w:rsid w:val="0087504C"/>
    <w:rsid w:val="00875755"/>
    <w:rsid w:val="008758EF"/>
    <w:rsid w:val="00875905"/>
    <w:rsid w:val="00875F79"/>
    <w:rsid w:val="00875FBD"/>
    <w:rsid w:val="00876AC7"/>
    <w:rsid w:val="0087763F"/>
    <w:rsid w:val="00877640"/>
    <w:rsid w:val="00877C45"/>
    <w:rsid w:val="00877C57"/>
    <w:rsid w:val="00877FA3"/>
    <w:rsid w:val="008802A9"/>
    <w:rsid w:val="008804C9"/>
    <w:rsid w:val="00880AB2"/>
    <w:rsid w:val="00880C88"/>
    <w:rsid w:val="00880D84"/>
    <w:rsid w:val="00880E95"/>
    <w:rsid w:val="008810DF"/>
    <w:rsid w:val="008810FA"/>
    <w:rsid w:val="00881842"/>
    <w:rsid w:val="008819A5"/>
    <w:rsid w:val="00881D7B"/>
    <w:rsid w:val="00881F28"/>
    <w:rsid w:val="008829DC"/>
    <w:rsid w:val="00882BB1"/>
    <w:rsid w:val="00882C9C"/>
    <w:rsid w:val="00883004"/>
    <w:rsid w:val="0088338B"/>
    <w:rsid w:val="00883D1E"/>
    <w:rsid w:val="00883ED6"/>
    <w:rsid w:val="00884255"/>
    <w:rsid w:val="0088425B"/>
    <w:rsid w:val="00884AD8"/>
    <w:rsid w:val="00884CDF"/>
    <w:rsid w:val="0088579F"/>
    <w:rsid w:val="00885D5D"/>
    <w:rsid w:val="00885EC9"/>
    <w:rsid w:val="00885F46"/>
    <w:rsid w:val="00885F7A"/>
    <w:rsid w:val="00886223"/>
    <w:rsid w:val="0088651F"/>
    <w:rsid w:val="0088697F"/>
    <w:rsid w:val="008876DF"/>
    <w:rsid w:val="00887771"/>
    <w:rsid w:val="00887FEF"/>
    <w:rsid w:val="0089055B"/>
    <w:rsid w:val="008907B2"/>
    <w:rsid w:val="00890917"/>
    <w:rsid w:val="00890BCD"/>
    <w:rsid w:val="00890E0D"/>
    <w:rsid w:val="00890F04"/>
    <w:rsid w:val="00890FBE"/>
    <w:rsid w:val="00891F63"/>
    <w:rsid w:val="00892253"/>
    <w:rsid w:val="008922DF"/>
    <w:rsid w:val="00893024"/>
    <w:rsid w:val="0089302F"/>
    <w:rsid w:val="0089398C"/>
    <w:rsid w:val="00893B3B"/>
    <w:rsid w:val="00893BA4"/>
    <w:rsid w:val="00893DB3"/>
    <w:rsid w:val="00894790"/>
    <w:rsid w:val="008948A0"/>
    <w:rsid w:val="008949CE"/>
    <w:rsid w:val="00894A2E"/>
    <w:rsid w:val="00894ADC"/>
    <w:rsid w:val="00894DF1"/>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0B3"/>
    <w:rsid w:val="008A1C65"/>
    <w:rsid w:val="008A1EA1"/>
    <w:rsid w:val="008A1FBC"/>
    <w:rsid w:val="008A24BD"/>
    <w:rsid w:val="008A2746"/>
    <w:rsid w:val="008A2871"/>
    <w:rsid w:val="008A294D"/>
    <w:rsid w:val="008A2AAE"/>
    <w:rsid w:val="008A2F26"/>
    <w:rsid w:val="008A36ED"/>
    <w:rsid w:val="008A3898"/>
    <w:rsid w:val="008A39E2"/>
    <w:rsid w:val="008A42D8"/>
    <w:rsid w:val="008A457F"/>
    <w:rsid w:val="008A4DAC"/>
    <w:rsid w:val="008A4E04"/>
    <w:rsid w:val="008A53C3"/>
    <w:rsid w:val="008A59E9"/>
    <w:rsid w:val="008A5AB1"/>
    <w:rsid w:val="008A5FE7"/>
    <w:rsid w:val="008A62D3"/>
    <w:rsid w:val="008A631F"/>
    <w:rsid w:val="008A668F"/>
    <w:rsid w:val="008A6AD5"/>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B2"/>
    <w:rsid w:val="008B2052"/>
    <w:rsid w:val="008B21F5"/>
    <w:rsid w:val="008B2392"/>
    <w:rsid w:val="008B252A"/>
    <w:rsid w:val="008B269F"/>
    <w:rsid w:val="008B2A2E"/>
    <w:rsid w:val="008B2AB2"/>
    <w:rsid w:val="008B2CB6"/>
    <w:rsid w:val="008B2D1D"/>
    <w:rsid w:val="008B2DEB"/>
    <w:rsid w:val="008B30EB"/>
    <w:rsid w:val="008B3779"/>
    <w:rsid w:val="008B3B71"/>
    <w:rsid w:val="008B3E81"/>
    <w:rsid w:val="008B41EF"/>
    <w:rsid w:val="008B4230"/>
    <w:rsid w:val="008B447F"/>
    <w:rsid w:val="008B44A9"/>
    <w:rsid w:val="008B4A4A"/>
    <w:rsid w:val="008B4B0D"/>
    <w:rsid w:val="008B4B33"/>
    <w:rsid w:val="008B5448"/>
    <w:rsid w:val="008B5577"/>
    <w:rsid w:val="008B60ED"/>
    <w:rsid w:val="008B66CB"/>
    <w:rsid w:val="008B68C6"/>
    <w:rsid w:val="008B6E5C"/>
    <w:rsid w:val="008B6EEA"/>
    <w:rsid w:val="008B7E3F"/>
    <w:rsid w:val="008C0027"/>
    <w:rsid w:val="008C0B6C"/>
    <w:rsid w:val="008C1161"/>
    <w:rsid w:val="008C18DB"/>
    <w:rsid w:val="008C1E59"/>
    <w:rsid w:val="008C2135"/>
    <w:rsid w:val="008C2236"/>
    <w:rsid w:val="008C2426"/>
    <w:rsid w:val="008C2453"/>
    <w:rsid w:val="008C26B4"/>
    <w:rsid w:val="008C2767"/>
    <w:rsid w:val="008C2BC8"/>
    <w:rsid w:val="008C4B47"/>
    <w:rsid w:val="008C4D56"/>
    <w:rsid w:val="008C570A"/>
    <w:rsid w:val="008C59D5"/>
    <w:rsid w:val="008C5B10"/>
    <w:rsid w:val="008C5D57"/>
    <w:rsid w:val="008C6970"/>
    <w:rsid w:val="008C69D9"/>
    <w:rsid w:val="008C69DC"/>
    <w:rsid w:val="008C6C7A"/>
    <w:rsid w:val="008C6D71"/>
    <w:rsid w:val="008C6F4F"/>
    <w:rsid w:val="008C6F9B"/>
    <w:rsid w:val="008C6FA2"/>
    <w:rsid w:val="008C7245"/>
    <w:rsid w:val="008C7386"/>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2DA4"/>
    <w:rsid w:val="008D300D"/>
    <w:rsid w:val="008D3208"/>
    <w:rsid w:val="008D399A"/>
    <w:rsid w:val="008D40C5"/>
    <w:rsid w:val="008D4318"/>
    <w:rsid w:val="008D453F"/>
    <w:rsid w:val="008D4D74"/>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A82"/>
    <w:rsid w:val="008E1B6C"/>
    <w:rsid w:val="008E1FDF"/>
    <w:rsid w:val="008E2051"/>
    <w:rsid w:val="008E20D6"/>
    <w:rsid w:val="008E20EC"/>
    <w:rsid w:val="008E225F"/>
    <w:rsid w:val="008E2562"/>
    <w:rsid w:val="008E2946"/>
    <w:rsid w:val="008E2B47"/>
    <w:rsid w:val="008E2C9C"/>
    <w:rsid w:val="008E2E43"/>
    <w:rsid w:val="008E2E8C"/>
    <w:rsid w:val="008E333F"/>
    <w:rsid w:val="008E378A"/>
    <w:rsid w:val="008E3C96"/>
    <w:rsid w:val="008E3F52"/>
    <w:rsid w:val="008E412D"/>
    <w:rsid w:val="008E451A"/>
    <w:rsid w:val="008E48FD"/>
    <w:rsid w:val="008E4CA5"/>
    <w:rsid w:val="008E52DD"/>
    <w:rsid w:val="008E5412"/>
    <w:rsid w:val="008E5625"/>
    <w:rsid w:val="008E5B5F"/>
    <w:rsid w:val="008E5D5A"/>
    <w:rsid w:val="008E624A"/>
    <w:rsid w:val="008E6788"/>
    <w:rsid w:val="008E719C"/>
    <w:rsid w:val="008E743E"/>
    <w:rsid w:val="008E7684"/>
    <w:rsid w:val="008E76C6"/>
    <w:rsid w:val="008E7DB3"/>
    <w:rsid w:val="008E7F9D"/>
    <w:rsid w:val="008F0090"/>
    <w:rsid w:val="008F01AB"/>
    <w:rsid w:val="008F044C"/>
    <w:rsid w:val="008F0460"/>
    <w:rsid w:val="008F06E5"/>
    <w:rsid w:val="008F07D4"/>
    <w:rsid w:val="008F0BA6"/>
    <w:rsid w:val="008F0FC8"/>
    <w:rsid w:val="008F1584"/>
    <w:rsid w:val="008F1CF8"/>
    <w:rsid w:val="008F211C"/>
    <w:rsid w:val="008F2151"/>
    <w:rsid w:val="008F2201"/>
    <w:rsid w:val="008F2A8C"/>
    <w:rsid w:val="008F2AE7"/>
    <w:rsid w:val="008F3069"/>
    <w:rsid w:val="008F35F6"/>
    <w:rsid w:val="008F368F"/>
    <w:rsid w:val="008F3BF5"/>
    <w:rsid w:val="008F3D2D"/>
    <w:rsid w:val="008F3D7C"/>
    <w:rsid w:val="008F3DC9"/>
    <w:rsid w:val="008F4107"/>
    <w:rsid w:val="008F44CA"/>
    <w:rsid w:val="008F4B0F"/>
    <w:rsid w:val="008F4BFE"/>
    <w:rsid w:val="008F4E3F"/>
    <w:rsid w:val="008F5406"/>
    <w:rsid w:val="008F5461"/>
    <w:rsid w:val="008F5866"/>
    <w:rsid w:val="008F595E"/>
    <w:rsid w:val="008F5EAD"/>
    <w:rsid w:val="008F6188"/>
    <w:rsid w:val="008F6649"/>
    <w:rsid w:val="008F6798"/>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DF"/>
    <w:rsid w:val="00901E1F"/>
    <w:rsid w:val="009022BC"/>
    <w:rsid w:val="00902512"/>
    <w:rsid w:val="0090255A"/>
    <w:rsid w:val="00902686"/>
    <w:rsid w:val="00902734"/>
    <w:rsid w:val="00903281"/>
    <w:rsid w:val="00903F0F"/>
    <w:rsid w:val="00903F59"/>
    <w:rsid w:val="00904038"/>
    <w:rsid w:val="00904052"/>
    <w:rsid w:val="009045C7"/>
    <w:rsid w:val="0090480E"/>
    <w:rsid w:val="00904A62"/>
    <w:rsid w:val="00904B6D"/>
    <w:rsid w:val="00904D35"/>
    <w:rsid w:val="00904E71"/>
    <w:rsid w:val="00904F2B"/>
    <w:rsid w:val="00905A06"/>
    <w:rsid w:val="00905BC8"/>
    <w:rsid w:val="00905F49"/>
    <w:rsid w:val="00906100"/>
    <w:rsid w:val="009067B8"/>
    <w:rsid w:val="009068B5"/>
    <w:rsid w:val="00906EED"/>
    <w:rsid w:val="00907071"/>
    <w:rsid w:val="0090715C"/>
    <w:rsid w:val="009076AC"/>
    <w:rsid w:val="00907BEE"/>
    <w:rsid w:val="00910874"/>
    <w:rsid w:val="009108A7"/>
    <w:rsid w:val="00911A5A"/>
    <w:rsid w:val="00911E1A"/>
    <w:rsid w:val="0091225D"/>
    <w:rsid w:val="009123B9"/>
    <w:rsid w:val="00912805"/>
    <w:rsid w:val="00912A63"/>
    <w:rsid w:val="00912A96"/>
    <w:rsid w:val="00912F6D"/>
    <w:rsid w:val="00913AF7"/>
    <w:rsid w:val="00913B67"/>
    <w:rsid w:val="00913EAE"/>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5E14"/>
    <w:rsid w:val="0091610F"/>
    <w:rsid w:val="009161BA"/>
    <w:rsid w:val="00917E0B"/>
    <w:rsid w:val="0092078E"/>
    <w:rsid w:val="00920848"/>
    <w:rsid w:val="00920B0E"/>
    <w:rsid w:val="00921530"/>
    <w:rsid w:val="009216BF"/>
    <w:rsid w:val="009218D2"/>
    <w:rsid w:val="00921A44"/>
    <w:rsid w:val="00921A74"/>
    <w:rsid w:val="00921C9F"/>
    <w:rsid w:val="00921ED5"/>
    <w:rsid w:val="00921FA1"/>
    <w:rsid w:val="00921FC2"/>
    <w:rsid w:val="009221E7"/>
    <w:rsid w:val="009225B6"/>
    <w:rsid w:val="00922815"/>
    <w:rsid w:val="00923151"/>
    <w:rsid w:val="009235CF"/>
    <w:rsid w:val="00923821"/>
    <w:rsid w:val="00923C0D"/>
    <w:rsid w:val="00923DF9"/>
    <w:rsid w:val="00924108"/>
    <w:rsid w:val="009246A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6AF1"/>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747"/>
    <w:rsid w:val="00934A17"/>
    <w:rsid w:val="00934FFD"/>
    <w:rsid w:val="009359C0"/>
    <w:rsid w:val="00935B52"/>
    <w:rsid w:val="009360F7"/>
    <w:rsid w:val="0093634D"/>
    <w:rsid w:val="0093672B"/>
    <w:rsid w:val="00936754"/>
    <w:rsid w:val="00936B8C"/>
    <w:rsid w:val="00936D07"/>
    <w:rsid w:val="009370A6"/>
    <w:rsid w:val="009373C5"/>
    <w:rsid w:val="009379B9"/>
    <w:rsid w:val="00937AC7"/>
    <w:rsid w:val="00937D15"/>
    <w:rsid w:val="00940A5D"/>
    <w:rsid w:val="00940BC0"/>
    <w:rsid w:val="00940BCB"/>
    <w:rsid w:val="00940D85"/>
    <w:rsid w:val="00940D9C"/>
    <w:rsid w:val="00940DF4"/>
    <w:rsid w:val="00940FB5"/>
    <w:rsid w:val="00941259"/>
    <w:rsid w:val="0094148B"/>
    <w:rsid w:val="00941A1C"/>
    <w:rsid w:val="00941AA8"/>
    <w:rsid w:val="00941B97"/>
    <w:rsid w:val="00941E13"/>
    <w:rsid w:val="009421B3"/>
    <w:rsid w:val="0094267F"/>
    <w:rsid w:val="0094290B"/>
    <w:rsid w:val="00942BB8"/>
    <w:rsid w:val="00942E21"/>
    <w:rsid w:val="00942EF9"/>
    <w:rsid w:val="0094335F"/>
    <w:rsid w:val="0094376F"/>
    <w:rsid w:val="009440F6"/>
    <w:rsid w:val="00944202"/>
    <w:rsid w:val="00944335"/>
    <w:rsid w:val="0094484A"/>
    <w:rsid w:val="00944AF4"/>
    <w:rsid w:val="00945D3C"/>
    <w:rsid w:val="00945E49"/>
    <w:rsid w:val="009462D8"/>
    <w:rsid w:val="00946388"/>
    <w:rsid w:val="0094663A"/>
    <w:rsid w:val="00946AA5"/>
    <w:rsid w:val="00946C4B"/>
    <w:rsid w:val="00946E3E"/>
    <w:rsid w:val="009478ED"/>
    <w:rsid w:val="009479E5"/>
    <w:rsid w:val="00947D8B"/>
    <w:rsid w:val="00947DA4"/>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00A"/>
    <w:rsid w:val="00953415"/>
    <w:rsid w:val="00953424"/>
    <w:rsid w:val="009535B7"/>
    <w:rsid w:val="009537A7"/>
    <w:rsid w:val="00953B1F"/>
    <w:rsid w:val="00953C21"/>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1E9"/>
    <w:rsid w:val="00956957"/>
    <w:rsid w:val="009573C6"/>
    <w:rsid w:val="009573C8"/>
    <w:rsid w:val="00957487"/>
    <w:rsid w:val="00957B6B"/>
    <w:rsid w:val="00957D9C"/>
    <w:rsid w:val="00957E2C"/>
    <w:rsid w:val="00957E93"/>
    <w:rsid w:val="0096026B"/>
    <w:rsid w:val="009603AB"/>
    <w:rsid w:val="00960475"/>
    <w:rsid w:val="00960479"/>
    <w:rsid w:val="009607AF"/>
    <w:rsid w:val="00960A88"/>
    <w:rsid w:val="00960C68"/>
    <w:rsid w:val="00960CB6"/>
    <w:rsid w:val="00960D09"/>
    <w:rsid w:val="00960D27"/>
    <w:rsid w:val="00961023"/>
    <w:rsid w:val="009612F1"/>
    <w:rsid w:val="009616FA"/>
    <w:rsid w:val="00961A61"/>
    <w:rsid w:val="00961E6D"/>
    <w:rsid w:val="00961F21"/>
    <w:rsid w:val="009621FF"/>
    <w:rsid w:val="00962395"/>
    <w:rsid w:val="009630C9"/>
    <w:rsid w:val="0096392B"/>
    <w:rsid w:val="0096397B"/>
    <w:rsid w:val="00963F73"/>
    <w:rsid w:val="00964E3C"/>
    <w:rsid w:val="00964E69"/>
    <w:rsid w:val="0096504D"/>
    <w:rsid w:val="009654F0"/>
    <w:rsid w:val="00965757"/>
    <w:rsid w:val="009659EA"/>
    <w:rsid w:val="0096691D"/>
    <w:rsid w:val="00966EC4"/>
    <w:rsid w:val="0096766C"/>
    <w:rsid w:val="00967851"/>
    <w:rsid w:val="00967D2D"/>
    <w:rsid w:val="00967F30"/>
    <w:rsid w:val="009707FD"/>
    <w:rsid w:val="00970F7A"/>
    <w:rsid w:val="00970FE3"/>
    <w:rsid w:val="0097109D"/>
    <w:rsid w:val="009711C3"/>
    <w:rsid w:val="009713ED"/>
    <w:rsid w:val="009718B0"/>
    <w:rsid w:val="00971C7D"/>
    <w:rsid w:val="00971EC5"/>
    <w:rsid w:val="00971F6B"/>
    <w:rsid w:val="00971FCC"/>
    <w:rsid w:val="00972562"/>
    <w:rsid w:val="0097281F"/>
    <w:rsid w:val="0097285C"/>
    <w:rsid w:val="0097298A"/>
    <w:rsid w:val="00972BB7"/>
    <w:rsid w:val="00972C06"/>
    <w:rsid w:val="00972F4C"/>
    <w:rsid w:val="00972FC5"/>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9A0"/>
    <w:rsid w:val="00976D1B"/>
    <w:rsid w:val="00976FFB"/>
    <w:rsid w:val="00977536"/>
    <w:rsid w:val="00977852"/>
    <w:rsid w:val="009778AB"/>
    <w:rsid w:val="00977C4D"/>
    <w:rsid w:val="00980403"/>
    <w:rsid w:val="00980498"/>
    <w:rsid w:val="009804CB"/>
    <w:rsid w:val="009809DD"/>
    <w:rsid w:val="00980ACA"/>
    <w:rsid w:val="00980D29"/>
    <w:rsid w:val="00980DBE"/>
    <w:rsid w:val="00980F14"/>
    <w:rsid w:val="00981BAF"/>
    <w:rsid w:val="00981D66"/>
    <w:rsid w:val="00981E33"/>
    <w:rsid w:val="00981FCE"/>
    <w:rsid w:val="00982314"/>
    <w:rsid w:val="00982768"/>
    <w:rsid w:val="00982773"/>
    <w:rsid w:val="00982AB4"/>
    <w:rsid w:val="00982E67"/>
    <w:rsid w:val="00983007"/>
    <w:rsid w:val="00983061"/>
    <w:rsid w:val="00983223"/>
    <w:rsid w:val="009838CE"/>
    <w:rsid w:val="009839C8"/>
    <w:rsid w:val="00983B9C"/>
    <w:rsid w:val="00983BD1"/>
    <w:rsid w:val="00983C41"/>
    <w:rsid w:val="00984206"/>
    <w:rsid w:val="00984235"/>
    <w:rsid w:val="00984C8E"/>
    <w:rsid w:val="00984E26"/>
    <w:rsid w:val="0098511E"/>
    <w:rsid w:val="00985133"/>
    <w:rsid w:val="0098541D"/>
    <w:rsid w:val="0098582F"/>
    <w:rsid w:val="00985BA2"/>
    <w:rsid w:val="00985CA4"/>
    <w:rsid w:val="00986956"/>
    <w:rsid w:val="00986B31"/>
    <w:rsid w:val="009871C2"/>
    <w:rsid w:val="009873AF"/>
    <w:rsid w:val="009875A6"/>
    <w:rsid w:val="009876A0"/>
    <w:rsid w:val="009879B5"/>
    <w:rsid w:val="009879F4"/>
    <w:rsid w:val="00987A56"/>
    <w:rsid w:val="00987E33"/>
    <w:rsid w:val="0099005F"/>
    <w:rsid w:val="00990164"/>
    <w:rsid w:val="009902F6"/>
    <w:rsid w:val="0099059E"/>
    <w:rsid w:val="00990E93"/>
    <w:rsid w:val="009917F3"/>
    <w:rsid w:val="00991AC4"/>
    <w:rsid w:val="00991F39"/>
    <w:rsid w:val="00991F68"/>
    <w:rsid w:val="0099256F"/>
    <w:rsid w:val="00992624"/>
    <w:rsid w:val="009927C4"/>
    <w:rsid w:val="00992A4E"/>
    <w:rsid w:val="00993075"/>
    <w:rsid w:val="009930C0"/>
    <w:rsid w:val="0099324C"/>
    <w:rsid w:val="00993627"/>
    <w:rsid w:val="0099367D"/>
    <w:rsid w:val="009936F0"/>
    <w:rsid w:val="009938ED"/>
    <w:rsid w:val="00994D59"/>
    <w:rsid w:val="00995063"/>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488"/>
    <w:rsid w:val="009A56A7"/>
    <w:rsid w:val="009A5812"/>
    <w:rsid w:val="009A5EF9"/>
    <w:rsid w:val="009A6127"/>
    <w:rsid w:val="009A62DC"/>
    <w:rsid w:val="009A637B"/>
    <w:rsid w:val="009A6456"/>
    <w:rsid w:val="009A6C74"/>
    <w:rsid w:val="009A6EE7"/>
    <w:rsid w:val="009A7154"/>
    <w:rsid w:val="009A78D1"/>
    <w:rsid w:val="009A7DFB"/>
    <w:rsid w:val="009A7E08"/>
    <w:rsid w:val="009A7EDA"/>
    <w:rsid w:val="009B003C"/>
    <w:rsid w:val="009B0295"/>
    <w:rsid w:val="009B03D3"/>
    <w:rsid w:val="009B167D"/>
    <w:rsid w:val="009B1823"/>
    <w:rsid w:val="009B1E6C"/>
    <w:rsid w:val="009B2226"/>
    <w:rsid w:val="009B2E47"/>
    <w:rsid w:val="009B3685"/>
    <w:rsid w:val="009B3745"/>
    <w:rsid w:val="009B3C79"/>
    <w:rsid w:val="009B3D47"/>
    <w:rsid w:val="009B4250"/>
    <w:rsid w:val="009B4821"/>
    <w:rsid w:val="009B4C1C"/>
    <w:rsid w:val="009B4C24"/>
    <w:rsid w:val="009B5821"/>
    <w:rsid w:val="009B595F"/>
    <w:rsid w:val="009B59FD"/>
    <w:rsid w:val="009B5A0E"/>
    <w:rsid w:val="009B63EA"/>
    <w:rsid w:val="009B6945"/>
    <w:rsid w:val="009B6DC6"/>
    <w:rsid w:val="009B6DF6"/>
    <w:rsid w:val="009B70E9"/>
    <w:rsid w:val="009B7564"/>
    <w:rsid w:val="009B7BB7"/>
    <w:rsid w:val="009B7D5C"/>
    <w:rsid w:val="009B7FFA"/>
    <w:rsid w:val="009C00EF"/>
    <w:rsid w:val="009C0BC1"/>
    <w:rsid w:val="009C0DBE"/>
    <w:rsid w:val="009C0E3B"/>
    <w:rsid w:val="009C1035"/>
    <w:rsid w:val="009C1240"/>
    <w:rsid w:val="009C1991"/>
    <w:rsid w:val="009C19BC"/>
    <w:rsid w:val="009C19D2"/>
    <w:rsid w:val="009C1BF9"/>
    <w:rsid w:val="009C1D4B"/>
    <w:rsid w:val="009C1E0C"/>
    <w:rsid w:val="009C206F"/>
    <w:rsid w:val="009C281C"/>
    <w:rsid w:val="009C2957"/>
    <w:rsid w:val="009C2AB0"/>
    <w:rsid w:val="009C2B1C"/>
    <w:rsid w:val="009C2EC6"/>
    <w:rsid w:val="009C3D88"/>
    <w:rsid w:val="009C42A3"/>
    <w:rsid w:val="009C4B76"/>
    <w:rsid w:val="009C509F"/>
    <w:rsid w:val="009C520B"/>
    <w:rsid w:val="009C5785"/>
    <w:rsid w:val="009C5874"/>
    <w:rsid w:val="009C6768"/>
    <w:rsid w:val="009C6894"/>
    <w:rsid w:val="009C6AB1"/>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489"/>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522"/>
    <w:rsid w:val="009E176B"/>
    <w:rsid w:val="009E1E2C"/>
    <w:rsid w:val="009E1F70"/>
    <w:rsid w:val="009E21A4"/>
    <w:rsid w:val="009E2234"/>
    <w:rsid w:val="009E2780"/>
    <w:rsid w:val="009E2BE6"/>
    <w:rsid w:val="009E2CB8"/>
    <w:rsid w:val="009E2DD3"/>
    <w:rsid w:val="009E2EAE"/>
    <w:rsid w:val="009E2F97"/>
    <w:rsid w:val="009E3644"/>
    <w:rsid w:val="009E3790"/>
    <w:rsid w:val="009E3C31"/>
    <w:rsid w:val="009E3E93"/>
    <w:rsid w:val="009E457F"/>
    <w:rsid w:val="009E4FCC"/>
    <w:rsid w:val="009E5656"/>
    <w:rsid w:val="009E5AB4"/>
    <w:rsid w:val="009E60C7"/>
    <w:rsid w:val="009E641D"/>
    <w:rsid w:val="009E6463"/>
    <w:rsid w:val="009E6A64"/>
    <w:rsid w:val="009E6D2E"/>
    <w:rsid w:val="009E6FBA"/>
    <w:rsid w:val="009E6FC8"/>
    <w:rsid w:val="009E707D"/>
    <w:rsid w:val="009E73D9"/>
    <w:rsid w:val="009E7789"/>
    <w:rsid w:val="009E7E9B"/>
    <w:rsid w:val="009F0082"/>
    <w:rsid w:val="009F0258"/>
    <w:rsid w:val="009F02E1"/>
    <w:rsid w:val="009F056D"/>
    <w:rsid w:val="009F07FC"/>
    <w:rsid w:val="009F0992"/>
    <w:rsid w:val="009F0CD1"/>
    <w:rsid w:val="009F14F1"/>
    <w:rsid w:val="009F16B5"/>
    <w:rsid w:val="009F187B"/>
    <w:rsid w:val="009F1933"/>
    <w:rsid w:val="009F26C0"/>
    <w:rsid w:val="009F2781"/>
    <w:rsid w:val="009F2A94"/>
    <w:rsid w:val="009F2AAF"/>
    <w:rsid w:val="009F2E7E"/>
    <w:rsid w:val="009F3A4B"/>
    <w:rsid w:val="009F3C7D"/>
    <w:rsid w:val="009F4196"/>
    <w:rsid w:val="009F41E1"/>
    <w:rsid w:val="009F4375"/>
    <w:rsid w:val="009F483A"/>
    <w:rsid w:val="009F4F05"/>
    <w:rsid w:val="009F4FA3"/>
    <w:rsid w:val="009F5606"/>
    <w:rsid w:val="009F5902"/>
    <w:rsid w:val="009F5CA4"/>
    <w:rsid w:val="009F6030"/>
    <w:rsid w:val="009F6410"/>
    <w:rsid w:val="009F6457"/>
    <w:rsid w:val="009F6863"/>
    <w:rsid w:val="009F7169"/>
    <w:rsid w:val="009F7883"/>
    <w:rsid w:val="009F79BE"/>
    <w:rsid w:val="009F7C2E"/>
    <w:rsid w:val="009F7D36"/>
    <w:rsid w:val="00A0018E"/>
    <w:rsid w:val="00A003AB"/>
    <w:rsid w:val="00A004F2"/>
    <w:rsid w:val="00A007EC"/>
    <w:rsid w:val="00A00B60"/>
    <w:rsid w:val="00A01006"/>
    <w:rsid w:val="00A01269"/>
    <w:rsid w:val="00A01968"/>
    <w:rsid w:val="00A02B26"/>
    <w:rsid w:val="00A02BEC"/>
    <w:rsid w:val="00A02C96"/>
    <w:rsid w:val="00A02D52"/>
    <w:rsid w:val="00A02DFE"/>
    <w:rsid w:val="00A02FBC"/>
    <w:rsid w:val="00A03A1D"/>
    <w:rsid w:val="00A043B9"/>
    <w:rsid w:val="00A04541"/>
    <w:rsid w:val="00A0461B"/>
    <w:rsid w:val="00A04A92"/>
    <w:rsid w:val="00A04DB3"/>
    <w:rsid w:val="00A04E65"/>
    <w:rsid w:val="00A04EEC"/>
    <w:rsid w:val="00A0559E"/>
    <w:rsid w:val="00A05A1F"/>
    <w:rsid w:val="00A05AA6"/>
    <w:rsid w:val="00A05BD0"/>
    <w:rsid w:val="00A05D10"/>
    <w:rsid w:val="00A05DFF"/>
    <w:rsid w:val="00A06140"/>
    <w:rsid w:val="00A062EA"/>
    <w:rsid w:val="00A06384"/>
    <w:rsid w:val="00A0648C"/>
    <w:rsid w:val="00A068D2"/>
    <w:rsid w:val="00A06ABB"/>
    <w:rsid w:val="00A06CC1"/>
    <w:rsid w:val="00A06F57"/>
    <w:rsid w:val="00A06FF5"/>
    <w:rsid w:val="00A07065"/>
    <w:rsid w:val="00A07594"/>
    <w:rsid w:val="00A07654"/>
    <w:rsid w:val="00A07656"/>
    <w:rsid w:val="00A07B16"/>
    <w:rsid w:val="00A07E6F"/>
    <w:rsid w:val="00A10230"/>
    <w:rsid w:val="00A105DB"/>
    <w:rsid w:val="00A106FE"/>
    <w:rsid w:val="00A107B6"/>
    <w:rsid w:val="00A10951"/>
    <w:rsid w:val="00A10B48"/>
    <w:rsid w:val="00A113B9"/>
    <w:rsid w:val="00A114B5"/>
    <w:rsid w:val="00A115BF"/>
    <w:rsid w:val="00A116E5"/>
    <w:rsid w:val="00A1197E"/>
    <w:rsid w:val="00A11A89"/>
    <w:rsid w:val="00A11ACA"/>
    <w:rsid w:val="00A11B8B"/>
    <w:rsid w:val="00A11E0F"/>
    <w:rsid w:val="00A1218E"/>
    <w:rsid w:val="00A12206"/>
    <w:rsid w:val="00A12301"/>
    <w:rsid w:val="00A126D1"/>
    <w:rsid w:val="00A12929"/>
    <w:rsid w:val="00A12A73"/>
    <w:rsid w:val="00A12BEE"/>
    <w:rsid w:val="00A12DC4"/>
    <w:rsid w:val="00A12EE8"/>
    <w:rsid w:val="00A131A4"/>
    <w:rsid w:val="00A13299"/>
    <w:rsid w:val="00A13715"/>
    <w:rsid w:val="00A139E2"/>
    <w:rsid w:val="00A13A66"/>
    <w:rsid w:val="00A13B10"/>
    <w:rsid w:val="00A13CF1"/>
    <w:rsid w:val="00A145D0"/>
    <w:rsid w:val="00A1574E"/>
    <w:rsid w:val="00A157EC"/>
    <w:rsid w:val="00A158D3"/>
    <w:rsid w:val="00A15F2F"/>
    <w:rsid w:val="00A16150"/>
    <w:rsid w:val="00A16328"/>
    <w:rsid w:val="00A163A7"/>
    <w:rsid w:val="00A16510"/>
    <w:rsid w:val="00A1686F"/>
    <w:rsid w:val="00A17180"/>
    <w:rsid w:val="00A1731C"/>
    <w:rsid w:val="00A17345"/>
    <w:rsid w:val="00A17648"/>
    <w:rsid w:val="00A1789B"/>
    <w:rsid w:val="00A179CC"/>
    <w:rsid w:val="00A17FA0"/>
    <w:rsid w:val="00A20232"/>
    <w:rsid w:val="00A205BF"/>
    <w:rsid w:val="00A205D4"/>
    <w:rsid w:val="00A2079E"/>
    <w:rsid w:val="00A2104B"/>
    <w:rsid w:val="00A210E9"/>
    <w:rsid w:val="00A211E4"/>
    <w:rsid w:val="00A21469"/>
    <w:rsid w:val="00A218AE"/>
    <w:rsid w:val="00A21A9D"/>
    <w:rsid w:val="00A21AAA"/>
    <w:rsid w:val="00A21E51"/>
    <w:rsid w:val="00A2208A"/>
    <w:rsid w:val="00A22132"/>
    <w:rsid w:val="00A22207"/>
    <w:rsid w:val="00A22389"/>
    <w:rsid w:val="00A22553"/>
    <w:rsid w:val="00A2260A"/>
    <w:rsid w:val="00A22664"/>
    <w:rsid w:val="00A23243"/>
    <w:rsid w:val="00A23590"/>
    <w:rsid w:val="00A2384B"/>
    <w:rsid w:val="00A23919"/>
    <w:rsid w:val="00A23921"/>
    <w:rsid w:val="00A23E0D"/>
    <w:rsid w:val="00A24002"/>
    <w:rsid w:val="00A244F6"/>
    <w:rsid w:val="00A2470A"/>
    <w:rsid w:val="00A2481C"/>
    <w:rsid w:val="00A24CCF"/>
    <w:rsid w:val="00A25296"/>
    <w:rsid w:val="00A253C6"/>
    <w:rsid w:val="00A2585A"/>
    <w:rsid w:val="00A25B10"/>
    <w:rsid w:val="00A25BD5"/>
    <w:rsid w:val="00A25C9D"/>
    <w:rsid w:val="00A261E4"/>
    <w:rsid w:val="00A265D9"/>
    <w:rsid w:val="00A26883"/>
    <w:rsid w:val="00A26A26"/>
    <w:rsid w:val="00A26D60"/>
    <w:rsid w:val="00A26EE0"/>
    <w:rsid w:val="00A2702B"/>
    <w:rsid w:val="00A279DC"/>
    <w:rsid w:val="00A27C97"/>
    <w:rsid w:val="00A30703"/>
    <w:rsid w:val="00A30BAE"/>
    <w:rsid w:val="00A3135B"/>
    <w:rsid w:val="00A313D0"/>
    <w:rsid w:val="00A314A9"/>
    <w:rsid w:val="00A31591"/>
    <w:rsid w:val="00A31AD2"/>
    <w:rsid w:val="00A31E88"/>
    <w:rsid w:val="00A321EE"/>
    <w:rsid w:val="00A3226E"/>
    <w:rsid w:val="00A32284"/>
    <w:rsid w:val="00A325C2"/>
    <w:rsid w:val="00A325CC"/>
    <w:rsid w:val="00A327E2"/>
    <w:rsid w:val="00A329BB"/>
    <w:rsid w:val="00A32A44"/>
    <w:rsid w:val="00A32BAD"/>
    <w:rsid w:val="00A32C37"/>
    <w:rsid w:val="00A33076"/>
    <w:rsid w:val="00A3331F"/>
    <w:rsid w:val="00A3393A"/>
    <w:rsid w:val="00A34685"/>
    <w:rsid w:val="00A34AFB"/>
    <w:rsid w:val="00A34BE5"/>
    <w:rsid w:val="00A34DA0"/>
    <w:rsid w:val="00A34F3C"/>
    <w:rsid w:val="00A35629"/>
    <w:rsid w:val="00A35A0B"/>
    <w:rsid w:val="00A35BD0"/>
    <w:rsid w:val="00A362CB"/>
    <w:rsid w:val="00A3651A"/>
    <w:rsid w:val="00A36893"/>
    <w:rsid w:val="00A37413"/>
    <w:rsid w:val="00A3747D"/>
    <w:rsid w:val="00A37A59"/>
    <w:rsid w:val="00A37E05"/>
    <w:rsid w:val="00A401D7"/>
    <w:rsid w:val="00A40531"/>
    <w:rsid w:val="00A40660"/>
    <w:rsid w:val="00A40A83"/>
    <w:rsid w:val="00A40C1E"/>
    <w:rsid w:val="00A41821"/>
    <w:rsid w:val="00A41C5C"/>
    <w:rsid w:val="00A41EF0"/>
    <w:rsid w:val="00A422A2"/>
    <w:rsid w:val="00A42659"/>
    <w:rsid w:val="00A42B87"/>
    <w:rsid w:val="00A4339C"/>
    <w:rsid w:val="00A43858"/>
    <w:rsid w:val="00A4392A"/>
    <w:rsid w:val="00A4424E"/>
    <w:rsid w:val="00A442E8"/>
    <w:rsid w:val="00A44882"/>
    <w:rsid w:val="00A44CDE"/>
    <w:rsid w:val="00A44E28"/>
    <w:rsid w:val="00A44F39"/>
    <w:rsid w:val="00A45371"/>
    <w:rsid w:val="00A4570E"/>
    <w:rsid w:val="00A4579D"/>
    <w:rsid w:val="00A45A3B"/>
    <w:rsid w:val="00A45A4A"/>
    <w:rsid w:val="00A45C5B"/>
    <w:rsid w:val="00A45EFA"/>
    <w:rsid w:val="00A46CA0"/>
    <w:rsid w:val="00A46F5A"/>
    <w:rsid w:val="00A46FAD"/>
    <w:rsid w:val="00A47B4B"/>
    <w:rsid w:val="00A5044D"/>
    <w:rsid w:val="00A509DE"/>
    <w:rsid w:val="00A50B00"/>
    <w:rsid w:val="00A50CE6"/>
    <w:rsid w:val="00A50D49"/>
    <w:rsid w:val="00A511FB"/>
    <w:rsid w:val="00A514EB"/>
    <w:rsid w:val="00A514F7"/>
    <w:rsid w:val="00A516EF"/>
    <w:rsid w:val="00A521E0"/>
    <w:rsid w:val="00A524C8"/>
    <w:rsid w:val="00A5277A"/>
    <w:rsid w:val="00A5291D"/>
    <w:rsid w:val="00A52ED6"/>
    <w:rsid w:val="00A52EDB"/>
    <w:rsid w:val="00A531CC"/>
    <w:rsid w:val="00A532E0"/>
    <w:rsid w:val="00A53533"/>
    <w:rsid w:val="00A5427B"/>
    <w:rsid w:val="00A5435E"/>
    <w:rsid w:val="00A5449F"/>
    <w:rsid w:val="00A54974"/>
    <w:rsid w:val="00A54A90"/>
    <w:rsid w:val="00A54B0B"/>
    <w:rsid w:val="00A54D16"/>
    <w:rsid w:val="00A54E1E"/>
    <w:rsid w:val="00A54E6B"/>
    <w:rsid w:val="00A553DF"/>
    <w:rsid w:val="00A55652"/>
    <w:rsid w:val="00A556AE"/>
    <w:rsid w:val="00A5579B"/>
    <w:rsid w:val="00A55877"/>
    <w:rsid w:val="00A55BB7"/>
    <w:rsid w:val="00A55E76"/>
    <w:rsid w:val="00A5637C"/>
    <w:rsid w:val="00A565DC"/>
    <w:rsid w:val="00A56735"/>
    <w:rsid w:val="00A56C2C"/>
    <w:rsid w:val="00A57311"/>
    <w:rsid w:val="00A57BD6"/>
    <w:rsid w:val="00A57EC0"/>
    <w:rsid w:val="00A57F96"/>
    <w:rsid w:val="00A602D0"/>
    <w:rsid w:val="00A60386"/>
    <w:rsid w:val="00A6065A"/>
    <w:rsid w:val="00A6068D"/>
    <w:rsid w:val="00A606AC"/>
    <w:rsid w:val="00A609BC"/>
    <w:rsid w:val="00A60B4F"/>
    <w:rsid w:val="00A60E0C"/>
    <w:rsid w:val="00A60E20"/>
    <w:rsid w:val="00A60EBB"/>
    <w:rsid w:val="00A6157E"/>
    <w:rsid w:val="00A615A0"/>
    <w:rsid w:val="00A615AF"/>
    <w:rsid w:val="00A615EB"/>
    <w:rsid w:val="00A61828"/>
    <w:rsid w:val="00A6189D"/>
    <w:rsid w:val="00A61F65"/>
    <w:rsid w:val="00A6213D"/>
    <w:rsid w:val="00A621F3"/>
    <w:rsid w:val="00A623EF"/>
    <w:rsid w:val="00A62454"/>
    <w:rsid w:val="00A627E0"/>
    <w:rsid w:val="00A62953"/>
    <w:rsid w:val="00A63244"/>
    <w:rsid w:val="00A6367F"/>
    <w:rsid w:val="00A63872"/>
    <w:rsid w:val="00A63928"/>
    <w:rsid w:val="00A63A37"/>
    <w:rsid w:val="00A63C52"/>
    <w:rsid w:val="00A64196"/>
    <w:rsid w:val="00A647A9"/>
    <w:rsid w:val="00A649B4"/>
    <w:rsid w:val="00A64BC7"/>
    <w:rsid w:val="00A64EB1"/>
    <w:rsid w:val="00A65417"/>
    <w:rsid w:val="00A655C8"/>
    <w:rsid w:val="00A6563A"/>
    <w:rsid w:val="00A657CF"/>
    <w:rsid w:val="00A65C72"/>
    <w:rsid w:val="00A65FBF"/>
    <w:rsid w:val="00A6636E"/>
    <w:rsid w:val="00A66670"/>
    <w:rsid w:val="00A66851"/>
    <w:rsid w:val="00A669D6"/>
    <w:rsid w:val="00A6743F"/>
    <w:rsid w:val="00A677C1"/>
    <w:rsid w:val="00A67A8E"/>
    <w:rsid w:val="00A67AC6"/>
    <w:rsid w:val="00A70301"/>
    <w:rsid w:val="00A7054E"/>
    <w:rsid w:val="00A70A35"/>
    <w:rsid w:val="00A7141F"/>
    <w:rsid w:val="00A71D6B"/>
    <w:rsid w:val="00A71F00"/>
    <w:rsid w:val="00A71F72"/>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492"/>
    <w:rsid w:val="00A75920"/>
    <w:rsid w:val="00A75DE7"/>
    <w:rsid w:val="00A76344"/>
    <w:rsid w:val="00A7634B"/>
    <w:rsid w:val="00A763FE"/>
    <w:rsid w:val="00A764B9"/>
    <w:rsid w:val="00A76569"/>
    <w:rsid w:val="00A76696"/>
    <w:rsid w:val="00A76A52"/>
    <w:rsid w:val="00A76BF2"/>
    <w:rsid w:val="00A7707F"/>
    <w:rsid w:val="00A770A5"/>
    <w:rsid w:val="00A7735F"/>
    <w:rsid w:val="00A77DCC"/>
    <w:rsid w:val="00A806D6"/>
    <w:rsid w:val="00A8135C"/>
    <w:rsid w:val="00A81633"/>
    <w:rsid w:val="00A81694"/>
    <w:rsid w:val="00A81B64"/>
    <w:rsid w:val="00A81D9B"/>
    <w:rsid w:val="00A8221B"/>
    <w:rsid w:val="00A82508"/>
    <w:rsid w:val="00A8263F"/>
    <w:rsid w:val="00A82C1E"/>
    <w:rsid w:val="00A831F0"/>
    <w:rsid w:val="00A831FB"/>
    <w:rsid w:val="00A83309"/>
    <w:rsid w:val="00A83BF1"/>
    <w:rsid w:val="00A83CA0"/>
    <w:rsid w:val="00A83F6F"/>
    <w:rsid w:val="00A8407C"/>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2"/>
    <w:rsid w:val="00A90E27"/>
    <w:rsid w:val="00A91218"/>
    <w:rsid w:val="00A91469"/>
    <w:rsid w:val="00A9164F"/>
    <w:rsid w:val="00A91B4C"/>
    <w:rsid w:val="00A91F3E"/>
    <w:rsid w:val="00A92457"/>
    <w:rsid w:val="00A927EE"/>
    <w:rsid w:val="00A92B81"/>
    <w:rsid w:val="00A934FE"/>
    <w:rsid w:val="00A93800"/>
    <w:rsid w:val="00A938E5"/>
    <w:rsid w:val="00A93942"/>
    <w:rsid w:val="00A93BDA"/>
    <w:rsid w:val="00A93E34"/>
    <w:rsid w:val="00A93FAE"/>
    <w:rsid w:val="00A94A33"/>
    <w:rsid w:val="00A94A70"/>
    <w:rsid w:val="00A94BB8"/>
    <w:rsid w:val="00A9505F"/>
    <w:rsid w:val="00A9508C"/>
    <w:rsid w:val="00A9526D"/>
    <w:rsid w:val="00A95510"/>
    <w:rsid w:val="00A95A3E"/>
    <w:rsid w:val="00A96058"/>
    <w:rsid w:val="00A9634F"/>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8FD"/>
    <w:rsid w:val="00AA29F2"/>
    <w:rsid w:val="00AA2CD8"/>
    <w:rsid w:val="00AA2F1C"/>
    <w:rsid w:val="00AA30A2"/>
    <w:rsid w:val="00AA461D"/>
    <w:rsid w:val="00AA4C09"/>
    <w:rsid w:val="00AA4F41"/>
    <w:rsid w:val="00AA5584"/>
    <w:rsid w:val="00AA576F"/>
    <w:rsid w:val="00AA6026"/>
    <w:rsid w:val="00AA6206"/>
    <w:rsid w:val="00AA62FE"/>
    <w:rsid w:val="00AA630A"/>
    <w:rsid w:val="00AA69EF"/>
    <w:rsid w:val="00AA6F21"/>
    <w:rsid w:val="00AA6F9A"/>
    <w:rsid w:val="00AA7312"/>
    <w:rsid w:val="00AA746D"/>
    <w:rsid w:val="00AA7819"/>
    <w:rsid w:val="00AA7C4F"/>
    <w:rsid w:val="00AB001C"/>
    <w:rsid w:val="00AB02C8"/>
    <w:rsid w:val="00AB05BC"/>
    <w:rsid w:val="00AB06B8"/>
    <w:rsid w:val="00AB06E6"/>
    <w:rsid w:val="00AB0ADE"/>
    <w:rsid w:val="00AB0B59"/>
    <w:rsid w:val="00AB0CA0"/>
    <w:rsid w:val="00AB0E94"/>
    <w:rsid w:val="00AB102D"/>
    <w:rsid w:val="00AB123C"/>
    <w:rsid w:val="00AB1705"/>
    <w:rsid w:val="00AB1A33"/>
    <w:rsid w:val="00AB2548"/>
    <w:rsid w:val="00AB2857"/>
    <w:rsid w:val="00AB2EB7"/>
    <w:rsid w:val="00AB3299"/>
    <w:rsid w:val="00AB3418"/>
    <w:rsid w:val="00AB3491"/>
    <w:rsid w:val="00AB3786"/>
    <w:rsid w:val="00AB3865"/>
    <w:rsid w:val="00AB3E16"/>
    <w:rsid w:val="00AB3E3E"/>
    <w:rsid w:val="00AB3F13"/>
    <w:rsid w:val="00AB4157"/>
    <w:rsid w:val="00AB426C"/>
    <w:rsid w:val="00AB42FF"/>
    <w:rsid w:val="00AB4300"/>
    <w:rsid w:val="00AB476F"/>
    <w:rsid w:val="00AB4D67"/>
    <w:rsid w:val="00AB513E"/>
    <w:rsid w:val="00AB51DA"/>
    <w:rsid w:val="00AB53BA"/>
    <w:rsid w:val="00AB5595"/>
    <w:rsid w:val="00AB57AD"/>
    <w:rsid w:val="00AB581F"/>
    <w:rsid w:val="00AB583A"/>
    <w:rsid w:val="00AB607B"/>
    <w:rsid w:val="00AB642C"/>
    <w:rsid w:val="00AB644A"/>
    <w:rsid w:val="00AB6458"/>
    <w:rsid w:val="00AB6CA0"/>
    <w:rsid w:val="00AB76D5"/>
    <w:rsid w:val="00AB7787"/>
    <w:rsid w:val="00AB784F"/>
    <w:rsid w:val="00AB78AC"/>
    <w:rsid w:val="00AB7913"/>
    <w:rsid w:val="00AC0169"/>
    <w:rsid w:val="00AC0AEA"/>
    <w:rsid w:val="00AC0CC3"/>
    <w:rsid w:val="00AC1281"/>
    <w:rsid w:val="00AC1554"/>
    <w:rsid w:val="00AC21BA"/>
    <w:rsid w:val="00AC22C7"/>
    <w:rsid w:val="00AC281A"/>
    <w:rsid w:val="00AC2D4E"/>
    <w:rsid w:val="00AC3084"/>
    <w:rsid w:val="00AC3431"/>
    <w:rsid w:val="00AC34D7"/>
    <w:rsid w:val="00AC35F7"/>
    <w:rsid w:val="00AC38E9"/>
    <w:rsid w:val="00AC404F"/>
    <w:rsid w:val="00AC45D6"/>
    <w:rsid w:val="00AC4D1B"/>
    <w:rsid w:val="00AC4D53"/>
    <w:rsid w:val="00AC4D9E"/>
    <w:rsid w:val="00AC4E2E"/>
    <w:rsid w:val="00AC5C2A"/>
    <w:rsid w:val="00AC61B3"/>
    <w:rsid w:val="00AC63F4"/>
    <w:rsid w:val="00AC6786"/>
    <w:rsid w:val="00AC6D9F"/>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32B"/>
    <w:rsid w:val="00AD75A6"/>
    <w:rsid w:val="00AD7927"/>
    <w:rsid w:val="00AD7E17"/>
    <w:rsid w:val="00AE0160"/>
    <w:rsid w:val="00AE0D23"/>
    <w:rsid w:val="00AE0E9E"/>
    <w:rsid w:val="00AE1369"/>
    <w:rsid w:val="00AE14B7"/>
    <w:rsid w:val="00AE169D"/>
    <w:rsid w:val="00AE19D1"/>
    <w:rsid w:val="00AE1EFA"/>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E7CCB"/>
    <w:rsid w:val="00AF0647"/>
    <w:rsid w:val="00AF094C"/>
    <w:rsid w:val="00AF0FFE"/>
    <w:rsid w:val="00AF1414"/>
    <w:rsid w:val="00AF14DF"/>
    <w:rsid w:val="00AF15C3"/>
    <w:rsid w:val="00AF19CD"/>
    <w:rsid w:val="00AF1DE5"/>
    <w:rsid w:val="00AF25F3"/>
    <w:rsid w:val="00AF28B0"/>
    <w:rsid w:val="00AF2DED"/>
    <w:rsid w:val="00AF3560"/>
    <w:rsid w:val="00AF3C80"/>
    <w:rsid w:val="00AF3C8C"/>
    <w:rsid w:val="00AF4095"/>
    <w:rsid w:val="00AF41FC"/>
    <w:rsid w:val="00AF4447"/>
    <w:rsid w:val="00AF457C"/>
    <w:rsid w:val="00AF4ABD"/>
    <w:rsid w:val="00AF5128"/>
    <w:rsid w:val="00AF5363"/>
    <w:rsid w:val="00AF5673"/>
    <w:rsid w:val="00AF579C"/>
    <w:rsid w:val="00AF5F78"/>
    <w:rsid w:val="00AF63A9"/>
    <w:rsid w:val="00AF6591"/>
    <w:rsid w:val="00AF66F1"/>
    <w:rsid w:val="00AF6A76"/>
    <w:rsid w:val="00AF6B1B"/>
    <w:rsid w:val="00AF6BD0"/>
    <w:rsid w:val="00AF7363"/>
    <w:rsid w:val="00AF738A"/>
    <w:rsid w:val="00AF7E8D"/>
    <w:rsid w:val="00AF7F09"/>
    <w:rsid w:val="00AF7F0E"/>
    <w:rsid w:val="00B0015C"/>
    <w:rsid w:val="00B002BA"/>
    <w:rsid w:val="00B00306"/>
    <w:rsid w:val="00B00521"/>
    <w:rsid w:val="00B0086C"/>
    <w:rsid w:val="00B00D62"/>
    <w:rsid w:val="00B010D3"/>
    <w:rsid w:val="00B0111E"/>
    <w:rsid w:val="00B018BC"/>
    <w:rsid w:val="00B01CC2"/>
    <w:rsid w:val="00B01F0D"/>
    <w:rsid w:val="00B02014"/>
    <w:rsid w:val="00B0226D"/>
    <w:rsid w:val="00B023FC"/>
    <w:rsid w:val="00B02A4C"/>
    <w:rsid w:val="00B02AD0"/>
    <w:rsid w:val="00B03101"/>
    <w:rsid w:val="00B039CE"/>
    <w:rsid w:val="00B03BB8"/>
    <w:rsid w:val="00B03D26"/>
    <w:rsid w:val="00B0407F"/>
    <w:rsid w:val="00B044DD"/>
    <w:rsid w:val="00B04AD7"/>
    <w:rsid w:val="00B04D36"/>
    <w:rsid w:val="00B04F11"/>
    <w:rsid w:val="00B04F21"/>
    <w:rsid w:val="00B0540A"/>
    <w:rsid w:val="00B0550D"/>
    <w:rsid w:val="00B05688"/>
    <w:rsid w:val="00B0588E"/>
    <w:rsid w:val="00B0610E"/>
    <w:rsid w:val="00B06771"/>
    <w:rsid w:val="00B067D5"/>
    <w:rsid w:val="00B06B15"/>
    <w:rsid w:val="00B06C77"/>
    <w:rsid w:val="00B070AD"/>
    <w:rsid w:val="00B07390"/>
    <w:rsid w:val="00B075EC"/>
    <w:rsid w:val="00B076A7"/>
    <w:rsid w:val="00B076C4"/>
    <w:rsid w:val="00B07B61"/>
    <w:rsid w:val="00B07CBE"/>
    <w:rsid w:val="00B108ED"/>
    <w:rsid w:val="00B10931"/>
    <w:rsid w:val="00B1093D"/>
    <w:rsid w:val="00B10BE8"/>
    <w:rsid w:val="00B10DF3"/>
    <w:rsid w:val="00B110D4"/>
    <w:rsid w:val="00B1167A"/>
    <w:rsid w:val="00B11882"/>
    <w:rsid w:val="00B11E29"/>
    <w:rsid w:val="00B12603"/>
    <w:rsid w:val="00B12A8C"/>
    <w:rsid w:val="00B12B64"/>
    <w:rsid w:val="00B13003"/>
    <w:rsid w:val="00B13123"/>
    <w:rsid w:val="00B137BE"/>
    <w:rsid w:val="00B13829"/>
    <w:rsid w:val="00B13F1F"/>
    <w:rsid w:val="00B14251"/>
    <w:rsid w:val="00B147CC"/>
    <w:rsid w:val="00B14994"/>
    <w:rsid w:val="00B150FE"/>
    <w:rsid w:val="00B15141"/>
    <w:rsid w:val="00B151C6"/>
    <w:rsid w:val="00B15916"/>
    <w:rsid w:val="00B16815"/>
    <w:rsid w:val="00B16B5F"/>
    <w:rsid w:val="00B16D08"/>
    <w:rsid w:val="00B16D57"/>
    <w:rsid w:val="00B1736C"/>
    <w:rsid w:val="00B174BE"/>
    <w:rsid w:val="00B17744"/>
    <w:rsid w:val="00B17D3E"/>
    <w:rsid w:val="00B17E90"/>
    <w:rsid w:val="00B20057"/>
    <w:rsid w:val="00B2043A"/>
    <w:rsid w:val="00B2063B"/>
    <w:rsid w:val="00B20CD7"/>
    <w:rsid w:val="00B20E2B"/>
    <w:rsid w:val="00B20F3D"/>
    <w:rsid w:val="00B21016"/>
    <w:rsid w:val="00B215F9"/>
    <w:rsid w:val="00B2161B"/>
    <w:rsid w:val="00B217CD"/>
    <w:rsid w:val="00B2188D"/>
    <w:rsid w:val="00B21B67"/>
    <w:rsid w:val="00B21CA7"/>
    <w:rsid w:val="00B22472"/>
    <w:rsid w:val="00B2274E"/>
    <w:rsid w:val="00B232CB"/>
    <w:rsid w:val="00B233A9"/>
    <w:rsid w:val="00B239CC"/>
    <w:rsid w:val="00B23C57"/>
    <w:rsid w:val="00B23C7D"/>
    <w:rsid w:val="00B23E2E"/>
    <w:rsid w:val="00B24F49"/>
    <w:rsid w:val="00B252E9"/>
    <w:rsid w:val="00B25585"/>
    <w:rsid w:val="00B25632"/>
    <w:rsid w:val="00B2571D"/>
    <w:rsid w:val="00B2588A"/>
    <w:rsid w:val="00B25A0E"/>
    <w:rsid w:val="00B25A70"/>
    <w:rsid w:val="00B25AB2"/>
    <w:rsid w:val="00B25BD8"/>
    <w:rsid w:val="00B25E1D"/>
    <w:rsid w:val="00B25F5B"/>
    <w:rsid w:val="00B25F9A"/>
    <w:rsid w:val="00B2613A"/>
    <w:rsid w:val="00B263BE"/>
    <w:rsid w:val="00B26611"/>
    <w:rsid w:val="00B2683D"/>
    <w:rsid w:val="00B269CE"/>
    <w:rsid w:val="00B26E0A"/>
    <w:rsid w:val="00B271E3"/>
    <w:rsid w:val="00B2757B"/>
    <w:rsid w:val="00B27D54"/>
    <w:rsid w:val="00B3057A"/>
    <w:rsid w:val="00B30FBB"/>
    <w:rsid w:val="00B317EB"/>
    <w:rsid w:val="00B318CB"/>
    <w:rsid w:val="00B31C72"/>
    <w:rsid w:val="00B31D0D"/>
    <w:rsid w:val="00B31E5F"/>
    <w:rsid w:val="00B322A7"/>
    <w:rsid w:val="00B32507"/>
    <w:rsid w:val="00B32607"/>
    <w:rsid w:val="00B326BE"/>
    <w:rsid w:val="00B32D91"/>
    <w:rsid w:val="00B32F7F"/>
    <w:rsid w:val="00B33126"/>
    <w:rsid w:val="00B338CE"/>
    <w:rsid w:val="00B3396B"/>
    <w:rsid w:val="00B33F7C"/>
    <w:rsid w:val="00B34390"/>
    <w:rsid w:val="00B3442C"/>
    <w:rsid w:val="00B34E56"/>
    <w:rsid w:val="00B3539A"/>
    <w:rsid w:val="00B3554B"/>
    <w:rsid w:val="00B35CB3"/>
    <w:rsid w:val="00B35F8E"/>
    <w:rsid w:val="00B37188"/>
    <w:rsid w:val="00B4003E"/>
    <w:rsid w:val="00B40292"/>
    <w:rsid w:val="00B406B2"/>
    <w:rsid w:val="00B40D73"/>
    <w:rsid w:val="00B4110D"/>
    <w:rsid w:val="00B411A3"/>
    <w:rsid w:val="00B412CB"/>
    <w:rsid w:val="00B4144A"/>
    <w:rsid w:val="00B416D8"/>
    <w:rsid w:val="00B41B34"/>
    <w:rsid w:val="00B42879"/>
    <w:rsid w:val="00B4290C"/>
    <w:rsid w:val="00B430D3"/>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8FC"/>
    <w:rsid w:val="00B47CEF"/>
    <w:rsid w:val="00B50261"/>
    <w:rsid w:val="00B504F7"/>
    <w:rsid w:val="00B50810"/>
    <w:rsid w:val="00B50933"/>
    <w:rsid w:val="00B509C0"/>
    <w:rsid w:val="00B50E09"/>
    <w:rsid w:val="00B50FD1"/>
    <w:rsid w:val="00B51420"/>
    <w:rsid w:val="00B51526"/>
    <w:rsid w:val="00B5171B"/>
    <w:rsid w:val="00B517F1"/>
    <w:rsid w:val="00B51A40"/>
    <w:rsid w:val="00B5238F"/>
    <w:rsid w:val="00B529F2"/>
    <w:rsid w:val="00B52EC8"/>
    <w:rsid w:val="00B533BC"/>
    <w:rsid w:val="00B5370C"/>
    <w:rsid w:val="00B538FF"/>
    <w:rsid w:val="00B53EF5"/>
    <w:rsid w:val="00B542BA"/>
    <w:rsid w:val="00B545DD"/>
    <w:rsid w:val="00B54989"/>
    <w:rsid w:val="00B54CC5"/>
    <w:rsid w:val="00B553CF"/>
    <w:rsid w:val="00B555B8"/>
    <w:rsid w:val="00B558B4"/>
    <w:rsid w:val="00B55ACA"/>
    <w:rsid w:val="00B561BD"/>
    <w:rsid w:val="00B566E0"/>
    <w:rsid w:val="00B5685D"/>
    <w:rsid w:val="00B56E91"/>
    <w:rsid w:val="00B56ECD"/>
    <w:rsid w:val="00B56F22"/>
    <w:rsid w:val="00B573C4"/>
    <w:rsid w:val="00B574BA"/>
    <w:rsid w:val="00B57861"/>
    <w:rsid w:val="00B579F5"/>
    <w:rsid w:val="00B57A9C"/>
    <w:rsid w:val="00B57C21"/>
    <w:rsid w:val="00B60407"/>
    <w:rsid w:val="00B6059C"/>
    <w:rsid w:val="00B609AE"/>
    <w:rsid w:val="00B609F0"/>
    <w:rsid w:val="00B60E6E"/>
    <w:rsid w:val="00B6112D"/>
    <w:rsid w:val="00B6156C"/>
    <w:rsid w:val="00B619AF"/>
    <w:rsid w:val="00B61B85"/>
    <w:rsid w:val="00B61CFF"/>
    <w:rsid w:val="00B61D6E"/>
    <w:rsid w:val="00B61F08"/>
    <w:rsid w:val="00B61F70"/>
    <w:rsid w:val="00B6237B"/>
    <w:rsid w:val="00B62894"/>
    <w:rsid w:val="00B62A18"/>
    <w:rsid w:val="00B63870"/>
    <w:rsid w:val="00B640AB"/>
    <w:rsid w:val="00B64124"/>
    <w:rsid w:val="00B642E9"/>
    <w:rsid w:val="00B64398"/>
    <w:rsid w:val="00B64484"/>
    <w:rsid w:val="00B645F8"/>
    <w:rsid w:val="00B64A44"/>
    <w:rsid w:val="00B64F38"/>
    <w:rsid w:val="00B652B0"/>
    <w:rsid w:val="00B65771"/>
    <w:rsid w:val="00B658B3"/>
    <w:rsid w:val="00B664EC"/>
    <w:rsid w:val="00B66801"/>
    <w:rsid w:val="00B668B4"/>
    <w:rsid w:val="00B66FFC"/>
    <w:rsid w:val="00B6796C"/>
    <w:rsid w:val="00B67B2B"/>
    <w:rsid w:val="00B7001D"/>
    <w:rsid w:val="00B7021B"/>
    <w:rsid w:val="00B70333"/>
    <w:rsid w:val="00B70A49"/>
    <w:rsid w:val="00B70CA8"/>
    <w:rsid w:val="00B70EDB"/>
    <w:rsid w:val="00B71913"/>
    <w:rsid w:val="00B71A5D"/>
    <w:rsid w:val="00B7273B"/>
    <w:rsid w:val="00B727B8"/>
    <w:rsid w:val="00B7325A"/>
    <w:rsid w:val="00B73453"/>
    <w:rsid w:val="00B73733"/>
    <w:rsid w:val="00B737C7"/>
    <w:rsid w:val="00B73E00"/>
    <w:rsid w:val="00B73E31"/>
    <w:rsid w:val="00B7460C"/>
    <w:rsid w:val="00B74A0D"/>
    <w:rsid w:val="00B74EC0"/>
    <w:rsid w:val="00B75519"/>
    <w:rsid w:val="00B75542"/>
    <w:rsid w:val="00B75667"/>
    <w:rsid w:val="00B75A5C"/>
    <w:rsid w:val="00B75D18"/>
    <w:rsid w:val="00B75EDC"/>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F3A"/>
    <w:rsid w:val="00B830F7"/>
    <w:rsid w:val="00B8321E"/>
    <w:rsid w:val="00B837F5"/>
    <w:rsid w:val="00B83AC3"/>
    <w:rsid w:val="00B83DAC"/>
    <w:rsid w:val="00B83DF6"/>
    <w:rsid w:val="00B84BE8"/>
    <w:rsid w:val="00B855A8"/>
    <w:rsid w:val="00B85837"/>
    <w:rsid w:val="00B85E85"/>
    <w:rsid w:val="00B85F67"/>
    <w:rsid w:val="00B86557"/>
    <w:rsid w:val="00B86D87"/>
    <w:rsid w:val="00B86EC4"/>
    <w:rsid w:val="00B87198"/>
    <w:rsid w:val="00B87AF3"/>
    <w:rsid w:val="00B87C60"/>
    <w:rsid w:val="00B90165"/>
    <w:rsid w:val="00B912E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85"/>
    <w:rsid w:val="00B96DA2"/>
    <w:rsid w:val="00B977E6"/>
    <w:rsid w:val="00BA067F"/>
    <w:rsid w:val="00BA0B82"/>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A56"/>
    <w:rsid w:val="00BA4C70"/>
    <w:rsid w:val="00BA4CF4"/>
    <w:rsid w:val="00BA54FB"/>
    <w:rsid w:val="00BA5863"/>
    <w:rsid w:val="00BA5C97"/>
    <w:rsid w:val="00BA5EFB"/>
    <w:rsid w:val="00BA6230"/>
    <w:rsid w:val="00BA659A"/>
    <w:rsid w:val="00BA68C1"/>
    <w:rsid w:val="00BA6D50"/>
    <w:rsid w:val="00BA712E"/>
    <w:rsid w:val="00BA7423"/>
    <w:rsid w:val="00BA7688"/>
    <w:rsid w:val="00BA77D9"/>
    <w:rsid w:val="00BA7EB0"/>
    <w:rsid w:val="00BB007A"/>
    <w:rsid w:val="00BB008F"/>
    <w:rsid w:val="00BB0528"/>
    <w:rsid w:val="00BB070E"/>
    <w:rsid w:val="00BB0D75"/>
    <w:rsid w:val="00BB1286"/>
    <w:rsid w:val="00BB19DE"/>
    <w:rsid w:val="00BB1AAC"/>
    <w:rsid w:val="00BB1C4F"/>
    <w:rsid w:val="00BB20E7"/>
    <w:rsid w:val="00BB225D"/>
    <w:rsid w:val="00BB24C8"/>
    <w:rsid w:val="00BB277B"/>
    <w:rsid w:val="00BB2835"/>
    <w:rsid w:val="00BB365A"/>
    <w:rsid w:val="00BB37B0"/>
    <w:rsid w:val="00BB3A61"/>
    <w:rsid w:val="00BB3D91"/>
    <w:rsid w:val="00BB3F27"/>
    <w:rsid w:val="00BB3F4C"/>
    <w:rsid w:val="00BB4A42"/>
    <w:rsid w:val="00BB4C0E"/>
    <w:rsid w:val="00BB5075"/>
    <w:rsid w:val="00BB5321"/>
    <w:rsid w:val="00BB55C2"/>
    <w:rsid w:val="00BB56F2"/>
    <w:rsid w:val="00BB57E0"/>
    <w:rsid w:val="00BB5846"/>
    <w:rsid w:val="00BB61DC"/>
    <w:rsid w:val="00BB6258"/>
    <w:rsid w:val="00BB6431"/>
    <w:rsid w:val="00BB645D"/>
    <w:rsid w:val="00BB6472"/>
    <w:rsid w:val="00BB65B9"/>
    <w:rsid w:val="00BB71EC"/>
    <w:rsid w:val="00BB724B"/>
    <w:rsid w:val="00BB740F"/>
    <w:rsid w:val="00BB7DB1"/>
    <w:rsid w:val="00BC0AE6"/>
    <w:rsid w:val="00BC16BF"/>
    <w:rsid w:val="00BC1B4B"/>
    <w:rsid w:val="00BC201A"/>
    <w:rsid w:val="00BC2A09"/>
    <w:rsid w:val="00BC2BC7"/>
    <w:rsid w:val="00BC2F45"/>
    <w:rsid w:val="00BC344E"/>
    <w:rsid w:val="00BC38B8"/>
    <w:rsid w:val="00BC3CF8"/>
    <w:rsid w:val="00BC4B9C"/>
    <w:rsid w:val="00BC4D50"/>
    <w:rsid w:val="00BC5181"/>
    <w:rsid w:val="00BC5307"/>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86D"/>
    <w:rsid w:val="00BD0FC4"/>
    <w:rsid w:val="00BD1122"/>
    <w:rsid w:val="00BD1276"/>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9AA"/>
    <w:rsid w:val="00BD5A26"/>
    <w:rsid w:val="00BD5A74"/>
    <w:rsid w:val="00BD5D4D"/>
    <w:rsid w:val="00BD614C"/>
    <w:rsid w:val="00BD6509"/>
    <w:rsid w:val="00BD689C"/>
    <w:rsid w:val="00BD6909"/>
    <w:rsid w:val="00BD6A22"/>
    <w:rsid w:val="00BD7578"/>
    <w:rsid w:val="00BD76A3"/>
    <w:rsid w:val="00BD78B8"/>
    <w:rsid w:val="00BD7A82"/>
    <w:rsid w:val="00BD7F9E"/>
    <w:rsid w:val="00BE072F"/>
    <w:rsid w:val="00BE0C3B"/>
    <w:rsid w:val="00BE0DCA"/>
    <w:rsid w:val="00BE13B8"/>
    <w:rsid w:val="00BE197A"/>
    <w:rsid w:val="00BE1A06"/>
    <w:rsid w:val="00BE215E"/>
    <w:rsid w:val="00BE2E99"/>
    <w:rsid w:val="00BE3412"/>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A7"/>
    <w:rsid w:val="00BF04B1"/>
    <w:rsid w:val="00BF0963"/>
    <w:rsid w:val="00BF0A66"/>
    <w:rsid w:val="00BF0CB3"/>
    <w:rsid w:val="00BF10D2"/>
    <w:rsid w:val="00BF10D6"/>
    <w:rsid w:val="00BF120B"/>
    <w:rsid w:val="00BF1309"/>
    <w:rsid w:val="00BF153C"/>
    <w:rsid w:val="00BF18B9"/>
    <w:rsid w:val="00BF1B70"/>
    <w:rsid w:val="00BF1FA2"/>
    <w:rsid w:val="00BF220D"/>
    <w:rsid w:val="00BF2817"/>
    <w:rsid w:val="00BF2C65"/>
    <w:rsid w:val="00BF31CB"/>
    <w:rsid w:val="00BF3485"/>
    <w:rsid w:val="00BF3AE6"/>
    <w:rsid w:val="00BF3C10"/>
    <w:rsid w:val="00BF46F1"/>
    <w:rsid w:val="00BF4923"/>
    <w:rsid w:val="00BF4B69"/>
    <w:rsid w:val="00BF5350"/>
    <w:rsid w:val="00BF551E"/>
    <w:rsid w:val="00BF55D0"/>
    <w:rsid w:val="00BF5623"/>
    <w:rsid w:val="00BF56A8"/>
    <w:rsid w:val="00BF60E3"/>
    <w:rsid w:val="00BF6597"/>
    <w:rsid w:val="00BF6FBF"/>
    <w:rsid w:val="00BF70A1"/>
    <w:rsid w:val="00BF70F8"/>
    <w:rsid w:val="00BF7448"/>
    <w:rsid w:val="00BF7CDD"/>
    <w:rsid w:val="00BF7D43"/>
    <w:rsid w:val="00C007CA"/>
    <w:rsid w:val="00C00B62"/>
    <w:rsid w:val="00C00BC2"/>
    <w:rsid w:val="00C00F1A"/>
    <w:rsid w:val="00C010F5"/>
    <w:rsid w:val="00C01291"/>
    <w:rsid w:val="00C01835"/>
    <w:rsid w:val="00C01B83"/>
    <w:rsid w:val="00C01DFD"/>
    <w:rsid w:val="00C020B4"/>
    <w:rsid w:val="00C02192"/>
    <w:rsid w:val="00C0279C"/>
    <w:rsid w:val="00C02C95"/>
    <w:rsid w:val="00C02CDE"/>
    <w:rsid w:val="00C03AAB"/>
    <w:rsid w:val="00C03B7B"/>
    <w:rsid w:val="00C03C30"/>
    <w:rsid w:val="00C04339"/>
    <w:rsid w:val="00C0465D"/>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321"/>
    <w:rsid w:val="00C1157C"/>
    <w:rsid w:val="00C11C33"/>
    <w:rsid w:val="00C11C73"/>
    <w:rsid w:val="00C11FE5"/>
    <w:rsid w:val="00C11FF6"/>
    <w:rsid w:val="00C12068"/>
    <w:rsid w:val="00C12EB5"/>
    <w:rsid w:val="00C1328A"/>
    <w:rsid w:val="00C13504"/>
    <w:rsid w:val="00C13C8A"/>
    <w:rsid w:val="00C13F22"/>
    <w:rsid w:val="00C140FE"/>
    <w:rsid w:val="00C14195"/>
    <w:rsid w:val="00C14346"/>
    <w:rsid w:val="00C144D7"/>
    <w:rsid w:val="00C14691"/>
    <w:rsid w:val="00C1473E"/>
    <w:rsid w:val="00C14EF8"/>
    <w:rsid w:val="00C15135"/>
    <w:rsid w:val="00C15902"/>
    <w:rsid w:val="00C159ED"/>
    <w:rsid w:val="00C15D8C"/>
    <w:rsid w:val="00C16386"/>
    <w:rsid w:val="00C165C6"/>
    <w:rsid w:val="00C1662C"/>
    <w:rsid w:val="00C16813"/>
    <w:rsid w:val="00C16B16"/>
    <w:rsid w:val="00C16B6A"/>
    <w:rsid w:val="00C17099"/>
    <w:rsid w:val="00C170AE"/>
    <w:rsid w:val="00C173EB"/>
    <w:rsid w:val="00C17593"/>
    <w:rsid w:val="00C176B6"/>
    <w:rsid w:val="00C17D7E"/>
    <w:rsid w:val="00C17D89"/>
    <w:rsid w:val="00C17DC9"/>
    <w:rsid w:val="00C202D5"/>
    <w:rsid w:val="00C2068D"/>
    <w:rsid w:val="00C206C4"/>
    <w:rsid w:val="00C206EC"/>
    <w:rsid w:val="00C207CE"/>
    <w:rsid w:val="00C20A2D"/>
    <w:rsid w:val="00C20DD5"/>
    <w:rsid w:val="00C20F2A"/>
    <w:rsid w:val="00C21791"/>
    <w:rsid w:val="00C21AB7"/>
    <w:rsid w:val="00C222B2"/>
    <w:rsid w:val="00C226CE"/>
    <w:rsid w:val="00C22703"/>
    <w:rsid w:val="00C227E3"/>
    <w:rsid w:val="00C2290A"/>
    <w:rsid w:val="00C2295E"/>
    <w:rsid w:val="00C23240"/>
    <w:rsid w:val="00C232DD"/>
    <w:rsid w:val="00C23452"/>
    <w:rsid w:val="00C239ED"/>
    <w:rsid w:val="00C2423A"/>
    <w:rsid w:val="00C244D8"/>
    <w:rsid w:val="00C24789"/>
    <w:rsid w:val="00C24EE5"/>
    <w:rsid w:val="00C250CF"/>
    <w:rsid w:val="00C2544D"/>
    <w:rsid w:val="00C25EE1"/>
    <w:rsid w:val="00C26871"/>
    <w:rsid w:val="00C2695A"/>
    <w:rsid w:val="00C26EB2"/>
    <w:rsid w:val="00C27156"/>
    <w:rsid w:val="00C274BE"/>
    <w:rsid w:val="00C275D9"/>
    <w:rsid w:val="00C2769D"/>
    <w:rsid w:val="00C27A94"/>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157"/>
    <w:rsid w:val="00C32478"/>
    <w:rsid w:val="00C3260A"/>
    <w:rsid w:val="00C32BB7"/>
    <w:rsid w:val="00C32CCE"/>
    <w:rsid w:val="00C32DF9"/>
    <w:rsid w:val="00C33053"/>
    <w:rsid w:val="00C33130"/>
    <w:rsid w:val="00C33560"/>
    <w:rsid w:val="00C337EC"/>
    <w:rsid w:val="00C339DE"/>
    <w:rsid w:val="00C33AA7"/>
    <w:rsid w:val="00C33DCE"/>
    <w:rsid w:val="00C3463A"/>
    <w:rsid w:val="00C346BB"/>
    <w:rsid w:val="00C346C1"/>
    <w:rsid w:val="00C34758"/>
    <w:rsid w:val="00C34BDB"/>
    <w:rsid w:val="00C34C05"/>
    <w:rsid w:val="00C34D4B"/>
    <w:rsid w:val="00C34D69"/>
    <w:rsid w:val="00C34F16"/>
    <w:rsid w:val="00C351D2"/>
    <w:rsid w:val="00C3566B"/>
    <w:rsid w:val="00C35B23"/>
    <w:rsid w:val="00C36050"/>
    <w:rsid w:val="00C361B0"/>
    <w:rsid w:val="00C367B9"/>
    <w:rsid w:val="00C36DAD"/>
    <w:rsid w:val="00C37050"/>
    <w:rsid w:val="00C37CA6"/>
    <w:rsid w:val="00C37F8D"/>
    <w:rsid w:val="00C4014D"/>
    <w:rsid w:val="00C4018E"/>
    <w:rsid w:val="00C404D5"/>
    <w:rsid w:val="00C40781"/>
    <w:rsid w:val="00C40841"/>
    <w:rsid w:val="00C40B7D"/>
    <w:rsid w:val="00C40CD4"/>
    <w:rsid w:val="00C41057"/>
    <w:rsid w:val="00C411E2"/>
    <w:rsid w:val="00C416D1"/>
    <w:rsid w:val="00C41D2B"/>
    <w:rsid w:val="00C41E8D"/>
    <w:rsid w:val="00C42130"/>
    <w:rsid w:val="00C42784"/>
    <w:rsid w:val="00C427B9"/>
    <w:rsid w:val="00C429E1"/>
    <w:rsid w:val="00C42E80"/>
    <w:rsid w:val="00C4301B"/>
    <w:rsid w:val="00C439F0"/>
    <w:rsid w:val="00C43CE7"/>
    <w:rsid w:val="00C44162"/>
    <w:rsid w:val="00C44189"/>
    <w:rsid w:val="00C447FB"/>
    <w:rsid w:val="00C449AB"/>
    <w:rsid w:val="00C44F96"/>
    <w:rsid w:val="00C44FF2"/>
    <w:rsid w:val="00C452C2"/>
    <w:rsid w:val="00C4587D"/>
    <w:rsid w:val="00C45C66"/>
    <w:rsid w:val="00C45EA5"/>
    <w:rsid w:val="00C464A1"/>
    <w:rsid w:val="00C46C33"/>
    <w:rsid w:val="00C470AA"/>
    <w:rsid w:val="00C473F0"/>
    <w:rsid w:val="00C476E4"/>
    <w:rsid w:val="00C47AE8"/>
    <w:rsid w:val="00C47B93"/>
    <w:rsid w:val="00C47BDE"/>
    <w:rsid w:val="00C47EC4"/>
    <w:rsid w:val="00C508B7"/>
    <w:rsid w:val="00C509D3"/>
    <w:rsid w:val="00C510B8"/>
    <w:rsid w:val="00C5144D"/>
    <w:rsid w:val="00C51696"/>
    <w:rsid w:val="00C5193F"/>
    <w:rsid w:val="00C51D11"/>
    <w:rsid w:val="00C51D30"/>
    <w:rsid w:val="00C51F21"/>
    <w:rsid w:val="00C521CD"/>
    <w:rsid w:val="00C52549"/>
    <w:rsid w:val="00C5257E"/>
    <w:rsid w:val="00C52670"/>
    <w:rsid w:val="00C52DD4"/>
    <w:rsid w:val="00C531B4"/>
    <w:rsid w:val="00C531B7"/>
    <w:rsid w:val="00C532F9"/>
    <w:rsid w:val="00C5334F"/>
    <w:rsid w:val="00C53E22"/>
    <w:rsid w:val="00C5432F"/>
    <w:rsid w:val="00C54C14"/>
    <w:rsid w:val="00C54C62"/>
    <w:rsid w:val="00C54CBD"/>
    <w:rsid w:val="00C54CDD"/>
    <w:rsid w:val="00C5589B"/>
    <w:rsid w:val="00C55A58"/>
    <w:rsid w:val="00C55E23"/>
    <w:rsid w:val="00C5638E"/>
    <w:rsid w:val="00C56918"/>
    <w:rsid w:val="00C569CA"/>
    <w:rsid w:val="00C56F7A"/>
    <w:rsid w:val="00C571C0"/>
    <w:rsid w:val="00C5733A"/>
    <w:rsid w:val="00C57CC6"/>
    <w:rsid w:val="00C57D43"/>
    <w:rsid w:val="00C57F05"/>
    <w:rsid w:val="00C601EB"/>
    <w:rsid w:val="00C602DB"/>
    <w:rsid w:val="00C603EA"/>
    <w:rsid w:val="00C60549"/>
    <w:rsid w:val="00C60708"/>
    <w:rsid w:val="00C60EC1"/>
    <w:rsid w:val="00C613E1"/>
    <w:rsid w:val="00C619CD"/>
    <w:rsid w:val="00C61B5A"/>
    <w:rsid w:val="00C61D30"/>
    <w:rsid w:val="00C61EE5"/>
    <w:rsid w:val="00C62027"/>
    <w:rsid w:val="00C62997"/>
    <w:rsid w:val="00C62B6E"/>
    <w:rsid w:val="00C63152"/>
    <w:rsid w:val="00C63169"/>
    <w:rsid w:val="00C633AB"/>
    <w:rsid w:val="00C6343A"/>
    <w:rsid w:val="00C636B0"/>
    <w:rsid w:val="00C63BD7"/>
    <w:rsid w:val="00C64849"/>
    <w:rsid w:val="00C64CEA"/>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F34"/>
    <w:rsid w:val="00C70366"/>
    <w:rsid w:val="00C70400"/>
    <w:rsid w:val="00C7040D"/>
    <w:rsid w:val="00C70997"/>
    <w:rsid w:val="00C70B8C"/>
    <w:rsid w:val="00C71327"/>
    <w:rsid w:val="00C71468"/>
    <w:rsid w:val="00C714AD"/>
    <w:rsid w:val="00C723AF"/>
    <w:rsid w:val="00C723CA"/>
    <w:rsid w:val="00C72681"/>
    <w:rsid w:val="00C7271F"/>
    <w:rsid w:val="00C72B80"/>
    <w:rsid w:val="00C72EF5"/>
    <w:rsid w:val="00C7322E"/>
    <w:rsid w:val="00C733ED"/>
    <w:rsid w:val="00C7357D"/>
    <w:rsid w:val="00C736A3"/>
    <w:rsid w:val="00C73BF6"/>
    <w:rsid w:val="00C74157"/>
    <w:rsid w:val="00C7448E"/>
    <w:rsid w:val="00C74859"/>
    <w:rsid w:val="00C748E2"/>
    <w:rsid w:val="00C74B2A"/>
    <w:rsid w:val="00C75004"/>
    <w:rsid w:val="00C755E8"/>
    <w:rsid w:val="00C75970"/>
    <w:rsid w:val="00C75AC4"/>
    <w:rsid w:val="00C75C9D"/>
    <w:rsid w:val="00C75DF1"/>
    <w:rsid w:val="00C76952"/>
    <w:rsid w:val="00C7731D"/>
    <w:rsid w:val="00C776DF"/>
    <w:rsid w:val="00C7799E"/>
    <w:rsid w:val="00C77D37"/>
    <w:rsid w:val="00C80441"/>
    <w:rsid w:val="00C80547"/>
    <w:rsid w:val="00C80CD8"/>
    <w:rsid w:val="00C80DB5"/>
    <w:rsid w:val="00C8198E"/>
    <w:rsid w:val="00C81B30"/>
    <w:rsid w:val="00C81D91"/>
    <w:rsid w:val="00C8220B"/>
    <w:rsid w:val="00C82387"/>
    <w:rsid w:val="00C823D0"/>
    <w:rsid w:val="00C831FC"/>
    <w:rsid w:val="00C8395C"/>
    <w:rsid w:val="00C83D50"/>
    <w:rsid w:val="00C840D4"/>
    <w:rsid w:val="00C84231"/>
    <w:rsid w:val="00C847C8"/>
    <w:rsid w:val="00C84D5A"/>
    <w:rsid w:val="00C85034"/>
    <w:rsid w:val="00C8534D"/>
    <w:rsid w:val="00C85F12"/>
    <w:rsid w:val="00C86379"/>
    <w:rsid w:val="00C86481"/>
    <w:rsid w:val="00C864DB"/>
    <w:rsid w:val="00C8669B"/>
    <w:rsid w:val="00C86A4C"/>
    <w:rsid w:val="00C870BA"/>
    <w:rsid w:val="00C8781D"/>
    <w:rsid w:val="00C878E9"/>
    <w:rsid w:val="00C87AF9"/>
    <w:rsid w:val="00C901A9"/>
    <w:rsid w:val="00C9047A"/>
    <w:rsid w:val="00C905AC"/>
    <w:rsid w:val="00C9065E"/>
    <w:rsid w:val="00C90912"/>
    <w:rsid w:val="00C909C8"/>
    <w:rsid w:val="00C90B43"/>
    <w:rsid w:val="00C90C65"/>
    <w:rsid w:val="00C90C82"/>
    <w:rsid w:val="00C90F7A"/>
    <w:rsid w:val="00C911EF"/>
    <w:rsid w:val="00C91450"/>
    <w:rsid w:val="00C91CFB"/>
    <w:rsid w:val="00C91FAC"/>
    <w:rsid w:val="00C9220C"/>
    <w:rsid w:val="00C922C5"/>
    <w:rsid w:val="00C92352"/>
    <w:rsid w:val="00C923B7"/>
    <w:rsid w:val="00C927AB"/>
    <w:rsid w:val="00C92C2A"/>
    <w:rsid w:val="00C9318C"/>
    <w:rsid w:val="00C93297"/>
    <w:rsid w:val="00C93543"/>
    <w:rsid w:val="00C94051"/>
    <w:rsid w:val="00C945EC"/>
    <w:rsid w:val="00C94613"/>
    <w:rsid w:val="00C94650"/>
    <w:rsid w:val="00C94B58"/>
    <w:rsid w:val="00C94BBA"/>
    <w:rsid w:val="00C94E45"/>
    <w:rsid w:val="00C95300"/>
    <w:rsid w:val="00C95548"/>
    <w:rsid w:val="00C955F6"/>
    <w:rsid w:val="00C95656"/>
    <w:rsid w:val="00C95730"/>
    <w:rsid w:val="00C957F5"/>
    <w:rsid w:val="00C95953"/>
    <w:rsid w:val="00C95962"/>
    <w:rsid w:val="00C959AA"/>
    <w:rsid w:val="00C95EC0"/>
    <w:rsid w:val="00C9603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DEB"/>
    <w:rsid w:val="00CA3827"/>
    <w:rsid w:val="00CA3DB2"/>
    <w:rsid w:val="00CA40DD"/>
    <w:rsid w:val="00CA41A3"/>
    <w:rsid w:val="00CA4586"/>
    <w:rsid w:val="00CA49C0"/>
    <w:rsid w:val="00CA4A24"/>
    <w:rsid w:val="00CA4A3F"/>
    <w:rsid w:val="00CA4C14"/>
    <w:rsid w:val="00CA4D19"/>
    <w:rsid w:val="00CA4F58"/>
    <w:rsid w:val="00CA51A0"/>
    <w:rsid w:val="00CA5891"/>
    <w:rsid w:val="00CA5DA3"/>
    <w:rsid w:val="00CA6164"/>
    <w:rsid w:val="00CA6734"/>
    <w:rsid w:val="00CA6BDF"/>
    <w:rsid w:val="00CB0072"/>
    <w:rsid w:val="00CB01BC"/>
    <w:rsid w:val="00CB03CF"/>
    <w:rsid w:val="00CB047F"/>
    <w:rsid w:val="00CB11BD"/>
    <w:rsid w:val="00CB1368"/>
    <w:rsid w:val="00CB167F"/>
    <w:rsid w:val="00CB1F2A"/>
    <w:rsid w:val="00CB24DE"/>
    <w:rsid w:val="00CB2655"/>
    <w:rsid w:val="00CB27D1"/>
    <w:rsid w:val="00CB299C"/>
    <w:rsid w:val="00CB2BBA"/>
    <w:rsid w:val="00CB2E2D"/>
    <w:rsid w:val="00CB35ED"/>
    <w:rsid w:val="00CB39EB"/>
    <w:rsid w:val="00CB41E7"/>
    <w:rsid w:val="00CB42F8"/>
    <w:rsid w:val="00CB480A"/>
    <w:rsid w:val="00CB4FA5"/>
    <w:rsid w:val="00CB5008"/>
    <w:rsid w:val="00CB58DD"/>
    <w:rsid w:val="00CB59CB"/>
    <w:rsid w:val="00CB5CF1"/>
    <w:rsid w:val="00CB6343"/>
    <w:rsid w:val="00CB6517"/>
    <w:rsid w:val="00CB7648"/>
    <w:rsid w:val="00CB797B"/>
    <w:rsid w:val="00CB79A4"/>
    <w:rsid w:val="00CB7B6B"/>
    <w:rsid w:val="00CB7F5F"/>
    <w:rsid w:val="00CC00B6"/>
    <w:rsid w:val="00CC00B7"/>
    <w:rsid w:val="00CC034B"/>
    <w:rsid w:val="00CC07BA"/>
    <w:rsid w:val="00CC099A"/>
    <w:rsid w:val="00CC0AA7"/>
    <w:rsid w:val="00CC0E56"/>
    <w:rsid w:val="00CC1555"/>
    <w:rsid w:val="00CC172A"/>
    <w:rsid w:val="00CC1A18"/>
    <w:rsid w:val="00CC1D2E"/>
    <w:rsid w:val="00CC1E3E"/>
    <w:rsid w:val="00CC1E40"/>
    <w:rsid w:val="00CC25CC"/>
    <w:rsid w:val="00CC27F5"/>
    <w:rsid w:val="00CC2D18"/>
    <w:rsid w:val="00CC2EFE"/>
    <w:rsid w:val="00CC2F39"/>
    <w:rsid w:val="00CC32B0"/>
    <w:rsid w:val="00CC34E2"/>
    <w:rsid w:val="00CC3983"/>
    <w:rsid w:val="00CC3D8D"/>
    <w:rsid w:val="00CC3E8C"/>
    <w:rsid w:val="00CC400F"/>
    <w:rsid w:val="00CC4365"/>
    <w:rsid w:val="00CC4401"/>
    <w:rsid w:val="00CC4C5E"/>
    <w:rsid w:val="00CC4C9E"/>
    <w:rsid w:val="00CC4CD7"/>
    <w:rsid w:val="00CC4F58"/>
    <w:rsid w:val="00CC57AE"/>
    <w:rsid w:val="00CC606C"/>
    <w:rsid w:val="00CC620F"/>
    <w:rsid w:val="00CC6315"/>
    <w:rsid w:val="00CC6B1F"/>
    <w:rsid w:val="00CC728B"/>
    <w:rsid w:val="00CC7356"/>
    <w:rsid w:val="00CC74D5"/>
    <w:rsid w:val="00CC74E5"/>
    <w:rsid w:val="00CC7A6D"/>
    <w:rsid w:val="00CC7DF5"/>
    <w:rsid w:val="00CD04B6"/>
    <w:rsid w:val="00CD0740"/>
    <w:rsid w:val="00CD0768"/>
    <w:rsid w:val="00CD0822"/>
    <w:rsid w:val="00CD0B87"/>
    <w:rsid w:val="00CD0E01"/>
    <w:rsid w:val="00CD14CB"/>
    <w:rsid w:val="00CD179D"/>
    <w:rsid w:val="00CD17F4"/>
    <w:rsid w:val="00CD1E74"/>
    <w:rsid w:val="00CD2585"/>
    <w:rsid w:val="00CD283A"/>
    <w:rsid w:val="00CD2D38"/>
    <w:rsid w:val="00CD309B"/>
    <w:rsid w:val="00CD3122"/>
    <w:rsid w:val="00CD325D"/>
    <w:rsid w:val="00CD3372"/>
    <w:rsid w:val="00CD3421"/>
    <w:rsid w:val="00CD3B95"/>
    <w:rsid w:val="00CD3C3B"/>
    <w:rsid w:val="00CD3D0C"/>
    <w:rsid w:val="00CD3D4B"/>
    <w:rsid w:val="00CD3F09"/>
    <w:rsid w:val="00CD3FAF"/>
    <w:rsid w:val="00CD4291"/>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2801"/>
    <w:rsid w:val="00CE3257"/>
    <w:rsid w:val="00CE38AA"/>
    <w:rsid w:val="00CE3CDC"/>
    <w:rsid w:val="00CE3D16"/>
    <w:rsid w:val="00CE3D41"/>
    <w:rsid w:val="00CE3FBA"/>
    <w:rsid w:val="00CE44B7"/>
    <w:rsid w:val="00CE44E8"/>
    <w:rsid w:val="00CE5386"/>
    <w:rsid w:val="00CE53A7"/>
    <w:rsid w:val="00CE5CB1"/>
    <w:rsid w:val="00CE5E50"/>
    <w:rsid w:val="00CE630B"/>
    <w:rsid w:val="00CE6569"/>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0D9"/>
    <w:rsid w:val="00CF2639"/>
    <w:rsid w:val="00CF2EF5"/>
    <w:rsid w:val="00CF2FBF"/>
    <w:rsid w:val="00CF31DC"/>
    <w:rsid w:val="00CF33BA"/>
    <w:rsid w:val="00CF3521"/>
    <w:rsid w:val="00CF3E2B"/>
    <w:rsid w:val="00CF3F01"/>
    <w:rsid w:val="00CF4022"/>
    <w:rsid w:val="00CF4050"/>
    <w:rsid w:val="00CF41AE"/>
    <w:rsid w:val="00CF4755"/>
    <w:rsid w:val="00CF47DE"/>
    <w:rsid w:val="00CF495B"/>
    <w:rsid w:val="00CF4B3B"/>
    <w:rsid w:val="00CF4F02"/>
    <w:rsid w:val="00CF4F88"/>
    <w:rsid w:val="00CF5EE9"/>
    <w:rsid w:val="00CF61A3"/>
    <w:rsid w:val="00CF66DE"/>
    <w:rsid w:val="00CF676B"/>
    <w:rsid w:val="00CF6848"/>
    <w:rsid w:val="00CF6AF3"/>
    <w:rsid w:val="00CF6C9A"/>
    <w:rsid w:val="00CF74F6"/>
    <w:rsid w:val="00CF76AE"/>
    <w:rsid w:val="00CF7CCF"/>
    <w:rsid w:val="00CF7D8D"/>
    <w:rsid w:val="00D00096"/>
    <w:rsid w:val="00D0033A"/>
    <w:rsid w:val="00D00522"/>
    <w:rsid w:val="00D00B22"/>
    <w:rsid w:val="00D00FCA"/>
    <w:rsid w:val="00D01640"/>
    <w:rsid w:val="00D017EE"/>
    <w:rsid w:val="00D01C73"/>
    <w:rsid w:val="00D021B4"/>
    <w:rsid w:val="00D02369"/>
    <w:rsid w:val="00D02AFC"/>
    <w:rsid w:val="00D02B70"/>
    <w:rsid w:val="00D02C36"/>
    <w:rsid w:val="00D02E17"/>
    <w:rsid w:val="00D02F2F"/>
    <w:rsid w:val="00D0321D"/>
    <w:rsid w:val="00D039A0"/>
    <w:rsid w:val="00D04A63"/>
    <w:rsid w:val="00D04FC8"/>
    <w:rsid w:val="00D050BA"/>
    <w:rsid w:val="00D05B47"/>
    <w:rsid w:val="00D05C5C"/>
    <w:rsid w:val="00D05F62"/>
    <w:rsid w:val="00D05FD4"/>
    <w:rsid w:val="00D06088"/>
    <w:rsid w:val="00D0675C"/>
    <w:rsid w:val="00D06800"/>
    <w:rsid w:val="00D06B22"/>
    <w:rsid w:val="00D06DED"/>
    <w:rsid w:val="00D070AD"/>
    <w:rsid w:val="00D073D1"/>
    <w:rsid w:val="00D073F8"/>
    <w:rsid w:val="00D078A7"/>
    <w:rsid w:val="00D078A9"/>
    <w:rsid w:val="00D078C9"/>
    <w:rsid w:val="00D07A62"/>
    <w:rsid w:val="00D07BEB"/>
    <w:rsid w:val="00D07D73"/>
    <w:rsid w:val="00D07D83"/>
    <w:rsid w:val="00D07DCA"/>
    <w:rsid w:val="00D07E5F"/>
    <w:rsid w:val="00D1023A"/>
    <w:rsid w:val="00D1127F"/>
    <w:rsid w:val="00D11672"/>
    <w:rsid w:val="00D11873"/>
    <w:rsid w:val="00D11FAE"/>
    <w:rsid w:val="00D12371"/>
    <w:rsid w:val="00D12440"/>
    <w:rsid w:val="00D1249E"/>
    <w:rsid w:val="00D126E6"/>
    <w:rsid w:val="00D126F8"/>
    <w:rsid w:val="00D128F5"/>
    <w:rsid w:val="00D12B75"/>
    <w:rsid w:val="00D1303E"/>
    <w:rsid w:val="00D13451"/>
    <w:rsid w:val="00D134E0"/>
    <w:rsid w:val="00D13820"/>
    <w:rsid w:val="00D13880"/>
    <w:rsid w:val="00D13957"/>
    <w:rsid w:val="00D13B3F"/>
    <w:rsid w:val="00D13BBC"/>
    <w:rsid w:val="00D13F9F"/>
    <w:rsid w:val="00D14204"/>
    <w:rsid w:val="00D14728"/>
    <w:rsid w:val="00D1478F"/>
    <w:rsid w:val="00D14D0C"/>
    <w:rsid w:val="00D14DE5"/>
    <w:rsid w:val="00D1552A"/>
    <w:rsid w:val="00D15D9D"/>
    <w:rsid w:val="00D16198"/>
    <w:rsid w:val="00D1624D"/>
    <w:rsid w:val="00D16996"/>
    <w:rsid w:val="00D17725"/>
    <w:rsid w:val="00D17869"/>
    <w:rsid w:val="00D1792B"/>
    <w:rsid w:val="00D17E93"/>
    <w:rsid w:val="00D17F37"/>
    <w:rsid w:val="00D202D3"/>
    <w:rsid w:val="00D2171B"/>
    <w:rsid w:val="00D217CE"/>
    <w:rsid w:val="00D21A77"/>
    <w:rsid w:val="00D21E67"/>
    <w:rsid w:val="00D22148"/>
    <w:rsid w:val="00D22166"/>
    <w:rsid w:val="00D229A3"/>
    <w:rsid w:val="00D22D40"/>
    <w:rsid w:val="00D2348D"/>
    <w:rsid w:val="00D23556"/>
    <w:rsid w:val="00D239F9"/>
    <w:rsid w:val="00D23A1F"/>
    <w:rsid w:val="00D23B89"/>
    <w:rsid w:val="00D23CE2"/>
    <w:rsid w:val="00D2406F"/>
    <w:rsid w:val="00D244D5"/>
    <w:rsid w:val="00D24D04"/>
    <w:rsid w:val="00D2502C"/>
    <w:rsid w:val="00D25866"/>
    <w:rsid w:val="00D25A61"/>
    <w:rsid w:val="00D25E03"/>
    <w:rsid w:val="00D261FB"/>
    <w:rsid w:val="00D26283"/>
    <w:rsid w:val="00D263B5"/>
    <w:rsid w:val="00D26586"/>
    <w:rsid w:val="00D2664C"/>
    <w:rsid w:val="00D2670D"/>
    <w:rsid w:val="00D26B2E"/>
    <w:rsid w:val="00D26DBE"/>
    <w:rsid w:val="00D27AAD"/>
    <w:rsid w:val="00D27C9B"/>
    <w:rsid w:val="00D27F01"/>
    <w:rsid w:val="00D30231"/>
    <w:rsid w:val="00D30373"/>
    <w:rsid w:val="00D309B2"/>
    <w:rsid w:val="00D309D3"/>
    <w:rsid w:val="00D30C46"/>
    <w:rsid w:val="00D30FC7"/>
    <w:rsid w:val="00D31B9F"/>
    <w:rsid w:val="00D31BEA"/>
    <w:rsid w:val="00D31CEF"/>
    <w:rsid w:val="00D31ECA"/>
    <w:rsid w:val="00D32A9F"/>
    <w:rsid w:val="00D33313"/>
    <w:rsid w:val="00D333D7"/>
    <w:rsid w:val="00D33410"/>
    <w:rsid w:val="00D33418"/>
    <w:rsid w:val="00D33458"/>
    <w:rsid w:val="00D33AFC"/>
    <w:rsid w:val="00D33C0E"/>
    <w:rsid w:val="00D33CED"/>
    <w:rsid w:val="00D3410B"/>
    <w:rsid w:val="00D344C9"/>
    <w:rsid w:val="00D3517D"/>
    <w:rsid w:val="00D35815"/>
    <w:rsid w:val="00D358B2"/>
    <w:rsid w:val="00D359BB"/>
    <w:rsid w:val="00D35AF0"/>
    <w:rsid w:val="00D35FCC"/>
    <w:rsid w:val="00D3609F"/>
    <w:rsid w:val="00D3610A"/>
    <w:rsid w:val="00D366C8"/>
    <w:rsid w:val="00D36885"/>
    <w:rsid w:val="00D368C6"/>
    <w:rsid w:val="00D36C8E"/>
    <w:rsid w:val="00D36D5A"/>
    <w:rsid w:val="00D37A26"/>
    <w:rsid w:val="00D37C2D"/>
    <w:rsid w:val="00D37DB7"/>
    <w:rsid w:val="00D4039F"/>
    <w:rsid w:val="00D404CE"/>
    <w:rsid w:val="00D40D79"/>
    <w:rsid w:val="00D40E25"/>
    <w:rsid w:val="00D40E78"/>
    <w:rsid w:val="00D40F5C"/>
    <w:rsid w:val="00D41009"/>
    <w:rsid w:val="00D41901"/>
    <w:rsid w:val="00D41CD0"/>
    <w:rsid w:val="00D41DB1"/>
    <w:rsid w:val="00D421D9"/>
    <w:rsid w:val="00D42223"/>
    <w:rsid w:val="00D422E4"/>
    <w:rsid w:val="00D424E7"/>
    <w:rsid w:val="00D426E8"/>
    <w:rsid w:val="00D426FB"/>
    <w:rsid w:val="00D42B71"/>
    <w:rsid w:val="00D42BEF"/>
    <w:rsid w:val="00D42BFF"/>
    <w:rsid w:val="00D42D5D"/>
    <w:rsid w:val="00D42EAD"/>
    <w:rsid w:val="00D43888"/>
    <w:rsid w:val="00D4429F"/>
    <w:rsid w:val="00D44A5C"/>
    <w:rsid w:val="00D454F9"/>
    <w:rsid w:val="00D45B68"/>
    <w:rsid w:val="00D45D24"/>
    <w:rsid w:val="00D45F6C"/>
    <w:rsid w:val="00D466E5"/>
    <w:rsid w:val="00D467C7"/>
    <w:rsid w:val="00D4688E"/>
    <w:rsid w:val="00D46E3E"/>
    <w:rsid w:val="00D46F2D"/>
    <w:rsid w:val="00D470C1"/>
    <w:rsid w:val="00D47151"/>
    <w:rsid w:val="00D471EF"/>
    <w:rsid w:val="00D475CC"/>
    <w:rsid w:val="00D477E2"/>
    <w:rsid w:val="00D4785C"/>
    <w:rsid w:val="00D47A34"/>
    <w:rsid w:val="00D5044A"/>
    <w:rsid w:val="00D504CF"/>
    <w:rsid w:val="00D50C82"/>
    <w:rsid w:val="00D50EF4"/>
    <w:rsid w:val="00D50F95"/>
    <w:rsid w:val="00D5102A"/>
    <w:rsid w:val="00D511FC"/>
    <w:rsid w:val="00D512D1"/>
    <w:rsid w:val="00D513F0"/>
    <w:rsid w:val="00D5141A"/>
    <w:rsid w:val="00D51565"/>
    <w:rsid w:val="00D515E8"/>
    <w:rsid w:val="00D517E1"/>
    <w:rsid w:val="00D51AAF"/>
    <w:rsid w:val="00D51F84"/>
    <w:rsid w:val="00D52200"/>
    <w:rsid w:val="00D52400"/>
    <w:rsid w:val="00D527A2"/>
    <w:rsid w:val="00D5296D"/>
    <w:rsid w:val="00D52A9A"/>
    <w:rsid w:val="00D52E1D"/>
    <w:rsid w:val="00D53387"/>
    <w:rsid w:val="00D53768"/>
    <w:rsid w:val="00D537B0"/>
    <w:rsid w:val="00D54171"/>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82"/>
    <w:rsid w:val="00D60DD4"/>
    <w:rsid w:val="00D610FA"/>
    <w:rsid w:val="00D61697"/>
    <w:rsid w:val="00D61A79"/>
    <w:rsid w:val="00D62243"/>
    <w:rsid w:val="00D6278F"/>
    <w:rsid w:val="00D62949"/>
    <w:rsid w:val="00D629D3"/>
    <w:rsid w:val="00D62DEC"/>
    <w:rsid w:val="00D62E00"/>
    <w:rsid w:val="00D63A38"/>
    <w:rsid w:val="00D63BAD"/>
    <w:rsid w:val="00D63D97"/>
    <w:rsid w:val="00D64091"/>
    <w:rsid w:val="00D6410E"/>
    <w:rsid w:val="00D6420A"/>
    <w:rsid w:val="00D643A8"/>
    <w:rsid w:val="00D6447E"/>
    <w:rsid w:val="00D645BF"/>
    <w:rsid w:val="00D647F9"/>
    <w:rsid w:val="00D6485C"/>
    <w:rsid w:val="00D64A30"/>
    <w:rsid w:val="00D64CB8"/>
    <w:rsid w:val="00D64D11"/>
    <w:rsid w:val="00D65404"/>
    <w:rsid w:val="00D6575A"/>
    <w:rsid w:val="00D65837"/>
    <w:rsid w:val="00D65DD6"/>
    <w:rsid w:val="00D65F8A"/>
    <w:rsid w:val="00D66008"/>
    <w:rsid w:val="00D66022"/>
    <w:rsid w:val="00D66065"/>
    <w:rsid w:val="00D66C66"/>
    <w:rsid w:val="00D66DAA"/>
    <w:rsid w:val="00D671EF"/>
    <w:rsid w:val="00D6755D"/>
    <w:rsid w:val="00D67888"/>
    <w:rsid w:val="00D67EA6"/>
    <w:rsid w:val="00D7010A"/>
    <w:rsid w:val="00D7040B"/>
    <w:rsid w:val="00D7066F"/>
    <w:rsid w:val="00D70B5B"/>
    <w:rsid w:val="00D70F5E"/>
    <w:rsid w:val="00D70F87"/>
    <w:rsid w:val="00D7123A"/>
    <w:rsid w:val="00D71399"/>
    <w:rsid w:val="00D71707"/>
    <w:rsid w:val="00D71BD5"/>
    <w:rsid w:val="00D72265"/>
    <w:rsid w:val="00D72522"/>
    <w:rsid w:val="00D72BDC"/>
    <w:rsid w:val="00D73118"/>
    <w:rsid w:val="00D73347"/>
    <w:rsid w:val="00D7364D"/>
    <w:rsid w:val="00D73A3C"/>
    <w:rsid w:val="00D73A6B"/>
    <w:rsid w:val="00D73CDE"/>
    <w:rsid w:val="00D73DAD"/>
    <w:rsid w:val="00D73E0D"/>
    <w:rsid w:val="00D74461"/>
    <w:rsid w:val="00D74AF7"/>
    <w:rsid w:val="00D7505F"/>
    <w:rsid w:val="00D75199"/>
    <w:rsid w:val="00D75277"/>
    <w:rsid w:val="00D755A0"/>
    <w:rsid w:val="00D75843"/>
    <w:rsid w:val="00D758A1"/>
    <w:rsid w:val="00D75E85"/>
    <w:rsid w:val="00D75F68"/>
    <w:rsid w:val="00D76326"/>
    <w:rsid w:val="00D7643F"/>
    <w:rsid w:val="00D7648B"/>
    <w:rsid w:val="00D769F0"/>
    <w:rsid w:val="00D76E0D"/>
    <w:rsid w:val="00D76E83"/>
    <w:rsid w:val="00D771C9"/>
    <w:rsid w:val="00D778A3"/>
    <w:rsid w:val="00D77A2C"/>
    <w:rsid w:val="00D800A1"/>
    <w:rsid w:val="00D8036A"/>
    <w:rsid w:val="00D80AB8"/>
    <w:rsid w:val="00D80C93"/>
    <w:rsid w:val="00D80CCB"/>
    <w:rsid w:val="00D81307"/>
    <w:rsid w:val="00D8145A"/>
    <w:rsid w:val="00D81465"/>
    <w:rsid w:val="00D817FD"/>
    <w:rsid w:val="00D81CC1"/>
    <w:rsid w:val="00D820F3"/>
    <w:rsid w:val="00D829AC"/>
    <w:rsid w:val="00D82AA1"/>
    <w:rsid w:val="00D83401"/>
    <w:rsid w:val="00D83552"/>
    <w:rsid w:val="00D83850"/>
    <w:rsid w:val="00D84268"/>
    <w:rsid w:val="00D84278"/>
    <w:rsid w:val="00D846C5"/>
    <w:rsid w:val="00D847C6"/>
    <w:rsid w:val="00D84EF8"/>
    <w:rsid w:val="00D84FDD"/>
    <w:rsid w:val="00D85757"/>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7C"/>
    <w:rsid w:val="00D92FD3"/>
    <w:rsid w:val="00D931F2"/>
    <w:rsid w:val="00D938C1"/>
    <w:rsid w:val="00D938CE"/>
    <w:rsid w:val="00D93D81"/>
    <w:rsid w:val="00D93EF4"/>
    <w:rsid w:val="00D94909"/>
    <w:rsid w:val="00D94BB0"/>
    <w:rsid w:val="00D94FF3"/>
    <w:rsid w:val="00D95322"/>
    <w:rsid w:val="00D955B0"/>
    <w:rsid w:val="00D956A2"/>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182"/>
    <w:rsid w:val="00DA1D80"/>
    <w:rsid w:val="00DA2046"/>
    <w:rsid w:val="00DA2185"/>
    <w:rsid w:val="00DA23D2"/>
    <w:rsid w:val="00DA29C4"/>
    <w:rsid w:val="00DA2D90"/>
    <w:rsid w:val="00DA3A26"/>
    <w:rsid w:val="00DA3B43"/>
    <w:rsid w:val="00DA3F00"/>
    <w:rsid w:val="00DA406B"/>
    <w:rsid w:val="00DA43CA"/>
    <w:rsid w:val="00DA4562"/>
    <w:rsid w:val="00DA492A"/>
    <w:rsid w:val="00DA49D8"/>
    <w:rsid w:val="00DA5655"/>
    <w:rsid w:val="00DA5CA9"/>
    <w:rsid w:val="00DA5E7E"/>
    <w:rsid w:val="00DA5FFF"/>
    <w:rsid w:val="00DA714A"/>
    <w:rsid w:val="00DA71AF"/>
    <w:rsid w:val="00DA727D"/>
    <w:rsid w:val="00DA7A85"/>
    <w:rsid w:val="00DA7BC7"/>
    <w:rsid w:val="00DA7E4C"/>
    <w:rsid w:val="00DA7EC1"/>
    <w:rsid w:val="00DB009D"/>
    <w:rsid w:val="00DB0564"/>
    <w:rsid w:val="00DB0666"/>
    <w:rsid w:val="00DB0D5D"/>
    <w:rsid w:val="00DB1312"/>
    <w:rsid w:val="00DB1539"/>
    <w:rsid w:val="00DB1F98"/>
    <w:rsid w:val="00DB2557"/>
    <w:rsid w:val="00DB27E1"/>
    <w:rsid w:val="00DB2A75"/>
    <w:rsid w:val="00DB2CDC"/>
    <w:rsid w:val="00DB2CF9"/>
    <w:rsid w:val="00DB2F94"/>
    <w:rsid w:val="00DB2FDC"/>
    <w:rsid w:val="00DB3133"/>
    <w:rsid w:val="00DB3454"/>
    <w:rsid w:val="00DB34D2"/>
    <w:rsid w:val="00DB35C7"/>
    <w:rsid w:val="00DB3719"/>
    <w:rsid w:val="00DB39DE"/>
    <w:rsid w:val="00DB39FE"/>
    <w:rsid w:val="00DB3D0B"/>
    <w:rsid w:val="00DB3D52"/>
    <w:rsid w:val="00DB42C3"/>
    <w:rsid w:val="00DB4322"/>
    <w:rsid w:val="00DB4516"/>
    <w:rsid w:val="00DB452C"/>
    <w:rsid w:val="00DB4F9D"/>
    <w:rsid w:val="00DB5799"/>
    <w:rsid w:val="00DB5A21"/>
    <w:rsid w:val="00DB5DEB"/>
    <w:rsid w:val="00DB5EBC"/>
    <w:rsid w:val="00DB5EE5"/>
    <w:rsid w:val="00DB6681"/>
    <w:rsid w:val="00DB6B13"/>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549"/>
    <w:rsid w:val="00DC367D"/>
    <w:rsid w:val="00DC3DE4"/>
    <w:rsid w:val="00DC4D82"/>
    <w:rsid w:val="00DC5015"/>
    <w:rsid w:val="00DC522F"/>
    <w:rsid w:val="00DC588E"/>
    <w:rsid w:val="00DC5E7A"/>
    <w:rsid w:val="00DC6035"/>
    <w:rsid w:val="00DC65D8"/>
    <w:rsid w:val="00DC6870"/>
    <w:rsid w:val="00DC69C6"/>
    <w:rsid w:val="00DC6A94"/>
    <w:rsid w:val="00DC6E29"/>
    <w:rsid w:val="00DC73C7"/>
    <w:rsid w:val="00DC7680"/>
    <w:rsid w:val="00DC7890"/>
    <w:rsid w:val="00DC79A3"/>
    <w:rsid w:val="00DC7C07"/>
    <w:rsid w:val="00DC7E92"/>
    <w:rsid w:val="00DD02C4"/>
    <w:rsid w:val="00DD044C"/>
    <w:rsid w:val="00DD0AAC"/>
    <w:rsid w:val="00DD128A"/>
    <w:rsid w:val="00DD12B1"/>
    <w:rsid w:val="00DD12B5"/>
    <w:rsid w:val="00DD1795"/>
    <w:rsid w:val="00DD18BD"/>
    <w:rsid w:val="00DD1947"/>
    <w:rsid w:val="00DD1E75"/>
    <w:rsid w:val="00DD1ED7"/>
    <w:rsid w:val="00DD23C0"/>
    <w:rsid w:val="00DD242B"/>
    <w:rsid w:val="00DD2DEB"/>
    <w:rsid w:val="00DD2FE5"/>
    <w:rsid w:val="00DD32DF"/>
    <w:rsid w:val="00DD3401"/>
    <w:rsid w:val="00DD3430"/>
    <w:rsid w:val="00DD3480"/>
    <w:rsid w:val="00DD3565"/>
    <w:rsid w:val="00DD3C20"/>
    <w:rsid w:val="00DD430B"/>
    <w:rsid w:val="00DD49D3"/>
    <w:rsid w:val="00DD49E9"/>
    <w:rsid w:val="00DD4D87"/>
    <w:rsid w:val="00DD59AB"/>
    <w:rsid w:val="00DD5F78"/>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4C6"/>
    <w:rsid w:val="00DE3E7C"/>
    <w:rsid w:val="00DE464E"/>
    <w:rsid w:val="00DE4664"/>
    <w:rsid w:val="00DE4811"/>
    <w:rsid w:val="00DE4B0C"/>
    <w:rsid w:val="00DE5497"/>
    <w:rsid w:val="00DE5B8F"/>
    <w:rsid w:val="00DE5FDA"/>
    <w:rsid w:val="00DE61AA"/>
    <w:rsid w:val="00DE7261"/>
    <w:rsid w:val="00DE72D7"/>
    <w:rsid w:val="00DE73EF"/>
    <w:rsid w:val="00DE752E"/>
    <w:rsid w:val="00DE7793"/>
    <w:rsid w:val="00DE7904"/>
    <w:rsid w:val="00DE7D03"/>
    <w:rsid w:val="00DE7D4B"/>
    <w:rsid w:val="00DE7F45"/>
    <w:rsid w:val="00DF02EC"/>
    <w:rsid w:val="00DF0820"/>
    <w:rsid w:val="00DF0A12"/>
    <w:rsid w:val="00DF0D33"/>
    <w:rsid w:val="00DF0E63"/>
    <w:rsid w:val="00DF10CC"/>
    <w:rsid w:val="00DF12DC"/>
    <w:rsid w:val="00DF1300"/>
    <w:rsid w:val="00DF1630"/>
    <w:rsid w:val="00DF1EB6"/>
    <w:rsid w:val="00DF1FD6"/>
    <w:rsid w:val="00DF21AF"/>
    <w:rsid w:val="00DF2412"/>
    <w:rsid w:val="00DF246E"/>
    <w:rsid w:val="00DF32AF"/>
    <w:rsid w:val="00DF3307"/>
    <w:rsid w:val="00DF35C2"/>
    <w:rsid w:val="00DF360E"/>
    <w:rsid w:val="00DF3623"/>
    <w:rsid w:val="00DF3A2C"/>
    <w:rsid w:val="00DF3F90"/>
    <w:rsid w:val="00DF4158"/>
    <w:rsid w:val="00DF4430"/>
    <w:rsid w:val="00DF4920"/>
    <w:rsid w:val="00DF4DEA"/>
    <w:rsid w:val="00DF4F19"/>
    <w:rsid w:val="00DF4F1A"/>
    <w:rsid w:val="00DF5002"/>
    <w:rsid w:val="00DF515D"/>
    <w:rsid w:val="00DF5270"/>
    <w:rsid w:val="00DF5588"/>
    <w:rsid w:val="00DF5B4C"/>
    <w:rsid w:val="00DF5C89"/>
    <w:rsid w:val="00DF6014"/>
    <w:rsid w:val="00DF6238"/>
    <w:rsid w:val="00DF6281"/>
    <w:rsid w:val="00DF6531"/>
    <w:rsid w:val="00DF662F"/>
    <w:rsid w:val="00DF6824"/>
    <w:rsid w:val="00DF69A9"/>
    <w:rsid w:val="00DF6A7B"/>
    <w:rsid w:val="00DF6A83"/>
    <w:rsid w:val="00DF6AE4"/>
    <w:rsid w:val="00DF6CAF"/>
    <w:rsid w:val="00DF7226"/>
    <w:rsid w:val="00DF7BC3"/>
    <w:rsid w:val="00E00368"/>
    <w:rsid w:val="00E005F5"/>
    <w:rsid w:val="00E00A07"/>
    <w:rsid w:val="00E00A92"/>
    <w:rsid w:val="00E01395"/>
    <w:rsid w:val="00E015A5"/>
    <w:rsid w:val="00E019EA"/>
    <w:rsid w:val="00E01A5C"/>
    <w:rsid w:val="00E028E6"/>
    <w:rsid w:val="00E02C20"/>
    <w:rsid w:val="00E02C28"/>
    <w:rsid w:val="00E0324B"/>
    <w:rsid w:val="00E0345F"/>
    <w:rsid w:val="00E03BEA"/>
    <w:rsid w:val="00E03CB4"/>
    <w:rsid w:val="00E0401E"/>
    <w:rsid w:val="00E0416C"/>
    <w:rsid w:val="00E04204"/>
    <w:rsid w:val="00E04234"/>
    <w:rsid w:val="00E046C1"/>
    <w:rsid w:val="00E049EC"/>
    <w:rsid w:val="00E05A43"/>
    <w:rsid w:val="00E05FC4"/>
    <w:rsid w:val="00E06977"/>
    <w:rsid w:val="00E06AF4"/>
    <w:rsid w:val="00E06F6A"/>
    <w:rsid w:val="00E073C8"/>
    <w:rsid w:val="00E07686"/>
    <w:rsid w:val="00E07939"/>
    <w:rsid w:val="00E07E45"/>
    <w:rsid w:val="00E1007C"/>
    <w:rsid w:val="00E100DC"/>
    <w:rsid w:val="00E101F9"/>
    <w:rsid w:val="00E102BD"/>
    <w:rsid w:val="00E1039D"/>
    <w:rsid w:val="00E103F8"/>
    <w:rsid w:val="00E104ED"/>
    <w:rsid w:val="00E10504"/>
    <w:rsid w:val="00E10631"/>
    <w:rsid w:val="00E10DA9"/>
    <w:rsid w:val="00E11A7C"/>
    <w:rsid w:val="00E11EB8"/>
    <w:rsid w:val="00E1273A"/>
    <w:rsid w:val="00E12933"/>
    <w:rsid w:val="00E12A5A"/>
    <w:rsid w:val="00E12AF0"/>
    <w:rsid w:val="00E1312A"/>
    <w:rsid w:val="00E136AE"/>
    <w:rsid w:val="00E139D0"/>
    <w:rsid w:val="00E14262"/>
    <w:rsid w:val="00E143EE"/>
    <w:rsid w:val="00E143F1"/>
    <w:rsid w:val="00E145A7"/>
    <w:rsid w:val="00E145E0"/>
    <w:rsid w:val="00E147E5"/>
    <w:rsid w:val="00E14913"/>
    <w:rsid w:val="00E149D5"/>
    <w:rsid w:val="00E14B4A"/>
    <w:rsid w:val="00E14E7C"/>
    <w:rsid w:val="00E150B1"/>
    <w:rsid w:val="00E15352"/>
    <w:rsid w:val="00E153A7"/>
    <w:rsid w:val="00E154A1"/>
    <w:rsid w:val="00E1561C"/>
    <w:rsid w:val="00E15ED2"/>
    <w:rsid w:val="00E164E8"/>
    <w:rsid w:val="00E1654E"/>
    <w:rsid w:val="00E16704"/>
    <w:rsid w:val="00E167D4"/>
    <w:rsid w:val="00E16A86"/>
    <w:rsid w:val="00E172D5"/>
    <w:rsid w:val="00E175FF"/>
    <w:rsid w:val="00E17C3F"/>
    <w:rsid w:val="00E17CFB"/>
    <w:rsid w:val="00E200EF"/>
    <w:rsid w:val="00E201E3"/>
    <w:rsid w:val="00E202A9"/>
    <w:rsid w:val="00E20661"/>
    <w:rsid w:val="00E206FA"/>
    <w:rsid w:val="00E20770"/>
    <w:rsid w:val="00E20855"/>
    <w:rsid w:val="00E20862"/>
    <w:rsid w:val="00E20AD1"/>
    <w:rsid w:val="00E20E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15"/>
    <w:rsid w:val="00E272FE"/>
    <w:rsid w:val="00E30063"/>
    <w:rsid w:val="00E30517"/>
    <w:rsid w:val="00E3070A"/>
    <w:rsid w:val="00E30A72"/>
    <w:rsid w:val="00E30DB2"/>
    <w:rsid w:val="00E31506"/>
    <w:rsid w:val="00E31586"/>
    <w:rsid w:val="00E31AAC"/>
    <w:rsid w:val="00E3200D"/>
    <w:rsid w:val="00E32E0E"/>
    <w:rsid w:val="00E3305B"/>
    <w:rsid w:val="00E334D4"/>
    <w:rsid w:val="00E33506"/>
    <w:rsid w:val="00E33802"/>
    <w:rsid w:val="00E33814"/>
    <w:rsid w:val="00E339C6"/>
    <w:rsid w:val="00E33B2A"/>
    <w:rsid w:val="00E33B8C"/>
    <w:rsid w:val="00E33D92"/>
    <w:rsid w:val="00E33E32"/>
    <w:rsid w:val="00E33E3A"/>
    <w:rsid w:val="00E33E4D"/>
    <w:rsid w:val="00E34478"/>
    <w:rsid w:val="00E34D6F"/>
    <w:rsid w:val="00E34F08"/>
    <w:rsid w:val="00E35029"/>
    <w:rsid w:val="00E35698"/>
    <w:rsid w:val="00E35AC2"/>
    <w:rsid w:val="00E35CDC"/>
    <w:rsid w:val="00E35EB9"/>
    <w:rsid w:val="00E35F47"/>
    <w:rsid w:val="00E3610B"/>
    <w:rsid w:val="00E3636D"/>
    <w:rsid w:val="00E363B9"/>
    <w:rsid w:val="00E363CF"/>
    <w:rsid w:val="00E36400"/>
    <w:rsid w:val="00E36AED"/>
    <w:rsid w:val="00E3702B"/>
    <w:rsid w:val="00E377BF"/>
    <w:rsid w:val="00E37C25"/>
    <w:rsid w:val="00E40362"/>
    <w:rsid w:val="00E4038C"/>
    <w:rsid w:val="00E40A63"/>
    <w:rsid w:val="00E40DA1"/>
    <w:rsid w:val="00E414CB"/>
    <w:rsid w:val="00E415AE"/>
    <w:rsid w:val="00E41BAC"/>
    <w:rsid w:val="00E42532"/>
    <w:rsid w:val="00E42D71"/>
    <w:rsid w:val="00E430BF"/>
    <w:rsid w:val="00E432AE"/>
    <w:rsid w:val="00E434D2"/>
    <w:rsid w:val="00E4356E"/>
    <w:rsid w:val="00E43F1E"/>
    <w:rsid w:val="00E4466A"/>
    <w:rsid w:val="00E447D5"/>
    <w:rsid w:val="00E4499D"/>
    <w:rsid w:val="00E449F7"/>
    <w:rsid w:val="00E45041"/>
    <w:rsid w:val="00E450D8"/>
    <w:rsid w:val="00E452D0"/>
    <w:rsid w:val="00E45A9D"/>
    <w:rsid w:val="00E460A1"/>
    <w:rsid w:val="00E4647C"/>
    <w:rsid w:val="00E46CC9"/>
    <w:rsid w:val="00E47D5F"/>
    <w:rsid w:val="00E47D96"/>
    <w:rsid w:val="00E47DF6"/>
    <w:rsid w:val="00E50344"/>
    <w:rsid w:val="00E508D6"/>
    <w:rsid w:val="00E50B5F"/>
    <w:rsid w:val="00E515A3"/>
    <w:rsid w:val="00E51E23"/>
    <w:rsid w:val="00E523F3"/>
    <w:rsid w:val="00E5252C"/>
    <w:rsid w:val="00E52F76"/>
    <w:rsid w:val="00E5315C"/>
    <w:rsid w:val="00E534EA"/>
    <w:rsid w:val="00E538E0"/>
    <w:rsid w:val="00E547DF"/>
    <w:rsid w:val="00E54D33"/>
    <w:rsid w:val="00E557E6"/>
    <w:rsid w:val="00E55D63"/>
    <w:rsid w:val="00E55E5D"/>
    <w:rsid w:val="00E560F4"/>
    <w:rsid w:val="00E564C1"/>
    <w:rsid w:val="00E56898"/>
    <w:rsid w:val="00E56D97"/>
    <w:rsid w:val="00E56E3C"/>
    <w:rsid w:val="00E56F3C"/>
    <w:rsid w:val="00E5711F"/>
    <w:rsid w:val="00E571C0"/>
    <w:rsid w:val="00E57456"/>
    <w:rsid w:val="00E57623"/>
    <w:rsid w:val="00E6000E"/>
    <w:rsid w:val="00E60050"/>
    <w:rsid w:val="00E6014B"/>
    <w:rsid w:val="00E602C9"/>
    <w:rsid w:val="00E608B7"/>
    <w:rsid w:val="00E608E1"/>
    <w:rsid w:val="00E60E12"/>
    <w:rsid w:val="00E60F80"/>
    <w:rsid w:val="00E6134E"/>
    <w:rsid w:val="00E613CE"/>
    <w:rsid w:val="00E61682"/>
    <w:rsid w:val="00E61DAC"/>
    <w:rsid w:val="00E61F86"/>
    <w:rsid w:val="00E62AF2"/>
    <w:rsid w:val="00E62C6B"/>
    <w:rsid w:val="00E62DDA"/>
    <w:rsid w:val="00E630F7"/>
    <w:rsid w:val="00E63A8C"/>
    <w:rsid w:val="00E63C84"/>
    <w:rsid w:val="00E643D0"/>
    <w:rsid w:val="00E64763"/>
    <w:rsid w:val="00E647DC"/>
    <w:rsid w:val="00E6484F"/>
    <w:rsid w:val="00E64B4F"/>
    <w:rsid w:val="00E64DE7"/>
    <w:rsid w:val="00E64F09"/>
    <w:rsid w:val="00E65904"/>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3ED6"/>
    <w:rsid w:val="00E73FFF"/>
    <w:rsid w:val="00E7449A"/>
    <w:rsid w:val="00E744BD"/>
    <w:rsid w:val="00E74B5A"/>
    <w:rsid w:val="00E7524F"/>
    <w:rsid w:val="00E7556D"/>
    <w:rsid w:val="00E755F4"/>
    <w:rsid w:val="00E75693"/>
    <w:rsid w:val="00E756FB"/>
    <w:rsid w:val="00E75918"/>
    <w:rsid w:val="00E76141"/>
    <w:rsid w:val="00E76270"/>
    <w:rsid w:val="00E76B45"/>
    <w:rsid w:val="00E77040"/>
    <w:rsid w:val="00E770DA"/>
    <w:rsid w:val="00E772C4"/>
    <w:rsid w:val="00E77484"/>
    <w:rsid w:val="00E77655"/>
    <w:rsid w:val="00E8016D"/>
    <w:rsid w:val="00E810EC"/>
    <w:rsid w:val="00E8112C"/>
    <w:rsid w:val="00E81587"/>
    <w:rsid w:val="00E81799"/>
    <w:rsid w:val="00E826C8"/>
    <w:rsid w:val="00E82819"/>
    <w:rsid w:val="00E82EE0"/>
    <w:rsid w:val="00E83280"/>
    <w:rsid w:val="00E832C9"/>
    <w:rsid w:val="00E8344D"/>
    <w:rsid w:val="00E83469"/>
    <w:rsid w:val="00E835C0"/>
    <w:rsid w:val="00E83E6E"/>
    <w:rsid w:val="00E8412F"/>
    <w:rsid w:val="00E843EF"/>
    <w:rsid w:val="00E84661"/>
    <w:rsid w:val="00E84934"/>
    <w:rsid w:val="00E84A69"/>
    <w:rsid w:val="00E84BAF"/>
    <w:rsid w:val="00E853AC"/>
    <w:rsid w:val="00E85483"/>
    <w:rsid w:val="00E86057"/>
    <w:rsid w:val="00E861F7"/>
    <w:rsid w:val="00E864CA"/>
    <w:rsid w:val="00E86647"/>
    <w:rsid w:val="00E869CC"/>
    <w:rsid w:val="00E86BF7"/>
    <w:rsid w:val="00E87182"/>
    <w:rsid w:val="00E879F0"/>
    <w:rsid w:val="00E87AE6"/>
    <w:rsid w:val="00E87BC7"/>
    <w:rsid w:val="00E90450"/>
    <w:rsid w:val="00E90BF3"/>
    <w:rsid w:val="00E91139"/>
    <w:rsid w:val="00E915E1"/>
    <w:rsid w:val="00E919F0"/>
    <w:rsid w:val="00E91BF2"/>
    <w:rsid w:val="00E91DD4"/>
    <w:rsid w:val="00E91DDE"/>
    <w:rsid w:val="00E91E61"/>
    <w:rsid w:val="00E920B8"/>
    <w:rsid w:val="00E92449"/>
    <w:rsid w:val="00E924C7"/>
    <w:rsid w:val="00E9281F"/>
    <w:rsid w:val="00E92BC4"/>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2D"/>
    <w:rsid w:val="00E96C84"/>
    <w:rsid w:val="00E96F40"/>
    <w:rsid w:val="00E96FBC"/>
    <w:rsid w:val="00E9702D"/>
    <w:rsid w:val="00E97353"/>
    <w:rsid w:val="00E9738B"/>
    <w:rsid w:val="00E97410"/>
    <w:rsid w:val="00E97507"/>
    <w:rsid w:val="00E97512"/>
    <w:rsid w:val="00E97710"/>
    <w:rsid w:val="00E97DC5"/>
    <w:rsid w:val="00EA0281"/>
    <w:rsid w:val="00EA09E1"/>
    <w:rsid w:val="00EA0BD3"/>
    <w:rsid w:val="00EA0BFA"/>
    <w:rsid w:val="00EA0E05"/>
    <w:rsid w:val="00EA0E10"/>
    <w:rsid w:val="00EA0EAB"/>
    <w:rsid w:val="00EA18EB"/>
    <w:rsid w:val="00EA1B4A"/>
    <w:rsid w:val="00EA1CC1"/>
    <w:rsid w:val="00EA2271"/>
    <w:rsid w:val="00EA2585"/>
    <w:rsid w:val="00EA2730"/>
    <w:rsid w:val="00EA2B94"/>
    <w:rsid w:val="00EA3641"/>
    <w:rsid w:val="00EA3D67"/>
    <w:rsid w:val="00EA3DB9"/>
    <w:rsid w:val="00EA475F"/>
    <w:rsid w:val="00EA4A36"/>
    <w:rsid w:val="00EA5029"/>
    <w:rsid w:val="00EA5335"/>
    <w:rsid w:val="00EA5E87"/>
    <w:rsid w:val="00EA630B"/>
    <w:rsid w:val="00EA6E29"/>
    <w:rsid w:val="00EA7B1C"/>
    <w:rsid w:val="00EA7CE6"/>
    <w:rsid w:val="00EA7E15"/>
    <w:rsid w:val="00EA7E9E"/>
    <w:rsid w:val="00EA7EF5"/>
    <w:rsid w:val="00EA7F1F"/>
    <w:rsid w:val="00EB05DC"/>
    <w:rsid w:val="00EB12B5"/>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2F4"/>
    <w:rsid w:val="00EB534C"/>
    <w:rsid w:val="00EB55D2"/>
    <w:rsid w:val="00EB56E5"/>
    <w:rsid w:val="00EB5A08"/>
    <w:rsid w:val="00EB5C31"/>
    <w:rsid w:val="00EB623F"/>
    <w:rsid w:val="00EB6721"/>
    <w:rsid w:val="00EB68E6"/>
    <w:rsid w:val="00EB6BC2"/>
    <w:rsid w:val="00EB6C53"/>
    <w:rsid w:val="00EB716B"/>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C15"/>
    <w:rsid w:val="00EC1D83"/>
    <w:rsid w:val="00EC1FE9"/>
    <w:rsid w:val="00EC285E"/>
    <w:rsid w:val="00EC28CD"/>
    <w:rsid w:val="00EC2915"/>
    <w:rsid w:val="00EC2A06"/>
    <w:rsid w:val="00EC2C50"/>
    <w:rsid w:val="00EC2DC2"/>
    <w:rsid w:val="00EC2E21"/>
    <w:rsid w:val="00EC30FE"/>
    <w:rsid w:val="00EC36DD"/>
    <w:rsid w:val="00EC3E31"/>
    <w:rsid w:val="00EC3E81"/>
    <w:rsid w:val="00EC3EC8"/>
    <w:rsid w:val="00EC44E7"/>
    <w:rsid w:val="00EC4D71"/>
    <w:rsid w:val="00EC4D77"/>
    <w:rsid w:val="00EC4D7B"/>
    <w:rsid w:val="00EC4E2E"/>
    <w:rsid w:val="00EC555C"/>
    <w:rsid w:val="00EC5EB2"/>
    <w:rsid w:val="00EC60A1"/>
    <w:rsid w:val="00EC612D"/>
    <w:rsid w:val="00EC614D"/>
    <w:rsid w:val="00EC6337"/>
    <w:rsid w:val="00EC6D31"/>
    <w:rsid w:val="00EC6D68"/>
    <w:rsid w:val="00EC6D82"/>
    <w:rsid w:val="00EC6FB4"/>
    <w:rsid w:val="00EC7183"/>
    <w:rsid w:val="00EC71AB"/>
    <w:rsid w:val="00EC75F6"/>
    <w:rsid w:val="00EC7D46"/>
    <w:rsid w:val="00EC7EE8"/>
    <w:rsid w:val="00ED0DE8"/>
    <w:rsid w:val="00ED0EB9"/>
    <w:rsid w:val="00ED1A21"/>
    <w:rsid w:val="00ED1A39"/>
    <w:rsid w:val="00ED1CD6"/>
    <w:rsid w:val="00ED2238"/>
    <w:rsid w:val="00ED2FF1"/>
    <w:rsid w:val="00ED30A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1E2"/>
    <w:rsid w:val="00ED54F7"/>
    <w:rsid w:val="00ED57BA"/>
    <w:rsid w:val="00ED58F2"/>
    <w:rsid w:val="00ED5F9D"/>
    <w:rsid w:val="00ED6100"/>
    <w:rsid w:val="00ED6E4E"/>
    <w:rsid w:val="00ED7634"/>
    <w:rsid w:val="00ED7BAF"/>
    <w:rsid w:val="00EE0318"/>
    <w:rsid w:val="00EE08BC"/>
    <w:rsid w:val="00EE0935"/>
    <w:rsid w:val="00EE09EA"/>
    <w:rsid w:val="00EE0A49"/>
    <w:rsid w:val="00EE15CA"/>
    <w:rsid w:val="00EE180E"/>
    <w:rsid w:val="00EE18BB"/>
    <w:rsid w:val="00EE1938"/>
    <w:rsid w:val="00EE1CDA"/>
    <w:rsid w:val="00EE1D36"/>
    <w:rsid w:val="00EE20B3"/>
    <w:rsid w:val="00EE23DD"/>
    <w:rsid w:val="00EE24B7"/>
    <w:rsid w:val="00EE286B"/>
    <w:rsid w:val="00EE2AAB"/>
    <w:rsid w:val="00EE3196"/>
    <w:rsid w:val="00EE3203"/>
    <w:rsid w:val="00EE3318"/>
    <w:rsid w:val="00EE33A6"/>
    <w:rsid w:val="00EE3608"/>
    <w:rsid w:val="00EE3DCB"/>
    <w:rsid w:val="00EE4825"/>
    <w:rsid w:val="00EE5112"/>
    <w:rsid w:val="00EE58F6"/>
    <w:rsid w:val="00EE62B4"/>
    <w:rsid w:val="00EE636D"/>
    <w:rsid w:val="00EE6678"/>
    <w:rsid w:val="00EE66B1"/>
    <w:rsid w:val="00EE687C"/>
    <w:rsid w:val="00EE751B"/>
    <w:rsid w:val="00EE752C"/>
    <w:rsid w:val="00EE7D91"/>
    <w:rsid w:val="00EE7ECE"/>
    <w:rsid w:val="00EE7F2E"/>
    <w:rsid w:val="00EF082A"/>
    <w:rsid w:val="00EF0E50"/>
    <w:rsid w:val="00EF16D6"/>
    <w:rsid w:val="00EF17D0"/>
    <w:rsid w:val="00EF1EED"/>
    <w:rsid w:val="00EF209D"/>
    <w:rsid w:val="00EF20FD"/>
    <w:rsid w:val="00EF2457"/>
    <w:rsid w:val="00EF2786"/>
    <w:rsid w:val="00EF28E6"/>
    <w:rsid w:val="00EF31F0"/>
    <w:rsid w:val="00EF35DD"/>
    <w:rsid w:val="00EF3A28"/>
    <w:rsid w:val="00EF3A3D"/>
    <w:rsid w:val="00EF3A4A"/>
    <w:rsid w:val="00EF3AFE"/>
    <w:rsid w:val="00EF3D41"/>
    <w:rsid w:val="00EF3D43"/>
    <w:rsid w:val="00EF3EE0"/>
    <w:rsid w:val="00EF3FCB"/>
    <w:rsid w:val="00EF493B"/>
    <w:rsid w:val="00EF4F32"/>
    <w:rsid w:val="00EF5326"/>
    <w:rsid w:val="00EF5605"/>
    <w:rsid w:val="00EF57F7"/>
    <w:rsid w:val="00EF5861"/>
    <w:rsid w:val="00EF6009"/>
    <w:rsid w:val="00EF61C2"/>
    <w:rsid w:val="00EF63DB"/>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EF1"/>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4EA5"/>
    <w:rsid w:val="00F0545A"/>
    <w:rsid w:val="00F05EED"/>
    <w:rsid w:val="00F068D2"/>
    <w:rsid w:val="00F06F02"/>
    <w:rsid w:val="00F07F2E"/>
    <w:rsid w:val="00F10437"/>
    <w:rsid w:val="00F10465"/>
    <w:rsid w:val="00F10780"/>
    <w:rsid w:val="00F10864"/>
    <w:rsid w:val="00F11086"/>
    <w:rsid w:val="00F1165E"/>
    <w:rsid w:val="00F11CF5"/>
    <w:rsid w:val="00F12212"/>
    <w:rsid w:val="00F12B3D"/>
    <w:rsid w:val="00F13242"/>
    <w:rsid w:val="00F1403E"/>
    <w:rsid w:val="00F140FE"/>
    <w:rsid w:val="00F1415B"/>
    <w:rsid w:val="00F1418D"/>
    <w:rsid w:val="00F14FB4"/>
    <w:rsid w:val="00F15CF3"/>
    <w:rsid w:val="00F165FF"/>
    <w:rsid w:val="00F16BB1"/>
    <w:rsid w:val="00F170DF"/>
    <w:rsid w:val="00F1710E"/>
    <w:rsid w:val="00F171EF"/>
    <w:rsid w:val="00F1744C"/>
    <w:rsid w:val="00F174EA"/>
    <w:rsid w:val="00F17A8F"/>
    <w:rsid w:val="00F17D56"/>
    <w:rsid w:val="00F20046"/>
    <w:rsid w:val="00F20242"/>
    <w:rsid w:val="00F20310"/>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80"/>
    <w:rsid w:val="00F24D96"/>
    <w:rsid w:val="00F24F4D"/>
    <w:rsid w:val="00F24FA0"/>
    <w:rsid w:val="00F25088"/>
    <w:rsid w:val="00F25157"/>
    <w:rsid w:val="00F2538E"/>
    <w:rsid w:val="00F258D1"/>
    <w:rsid w:val="00F25EB4"/>
    <w:rsid w:val="00F25F62"/>
    <w:rsid w:val="00F2617C"/>
    <w:rsid w:val="00F2643A"/>
    <w:rsid w:val="00F26886"/>
    <w:rsid w:val="00F2699C"/>
    <w:rsid w:val="00F269A0"/>
    <w:rsid w:val="00F27000"/>
    <w:rsid w:val="00F27776"/>
    <w:rsid w:val="00F27A26"/>
    <w:rsid w:val="00F27E0C"/>
    <w:rsid w:val="00F27F00"/>
    <w:rsid w:val="00F3002F"/>
    <w:rsid w:val="00F30353"/>
    <w:rsid w:val="00F3075E"/>
    <w:rsid w:val="00F308C0"/>
    <w:rsid w:val="00F30D5F"/>
    <w:rsid w:val="00F318E7"/>
    <w:rsid w:val="00F31F17"/>
    <w:rsid w:val="00F3236F"/>
    <w:rsid w:val="00F32374"/>
    <w:rsid w:val="00F32DD1"/>
    <w:rsid w:val="00F32F0E"/>
    <w:rsid w:val="00F32F3E"/>
    <w:rsid w:val="00F3333E"/>
    <w:rsid w:val="00F3383E"/>
    <w:rsid w:val="00F34286"/>
    <w:rsid w:val="00F342E5"/>
    <w:rsid w:val="00F346BC"/>
    <w:rsid w:val="00F34F52"/>
    <w:rsid w:val="00F351DE"/>
    <w:rsid w:val="00F3521B"/>
    <w:rsid w:val="00F35540"/>
    <w:rsid w:val="00F35561"/>
    <w:rsid w:val="00F35865"/>
    <w:rsid w:val="00F35A60"/>
    <w:rsid w:val="00F35E92"/>
    <w:rsid w:val="00F360BA"/>
    <w:rsid w:val="00F366CE"/>
    <w:rsid w:val="00F369FF"/>
    <w:rsid w:val="00F37729"/>
    <w:rsid w:val="00F377A2"/>
    <w:rsid w:val="00F37922"/>
    <w:rsid w:val="00F37AEF"/>
    <w:rsid w:val="00F37DC6"/>
    <w:rsid w:val="00F37E70"/>
    <w:rsid w:val="00F40C88"/>
    <w:rsid w:val="00F41576"/>
    <w:rsid w:val="00F41C37"/>
    <w:rsid w:val="00F41D1F"/>
    <w:rsid w:val="00F426B0"/>
    <w:rsid w:val="00F42910"/>
    <w:rsid w:val="00F42C2B"/>
    <w:rsid w:val="00F4460F"/>
    <w:rsid w:val="00F44833"/>
    <w:rsid w:val="00F45B82"/>
    <w:rsid w:val="00F465F2"/>
    <w:rsid w:val="00F46694"/>
    <w:rsid w:val="00F467B0"/>
    <w:rsid w:val="00F4683A"/>
    <w:rsid w:val="00F46E40"/>
    <w:rsid w:val="00F46F8B"/>
    <w:rsid w:val="00F47132"/>
    <w:rsid w:val="00F4751B"/>
    <w:rsid w:val="00F47728"/>
    <w:rsid w:val="00F47AF4"/>
    <w:rsid w:val="00F47AFE"/>
    <w:rsid w:val="00F47CBA"/>
    <w:rsid w:val="00F47CF5"/>
    <w:rsid w:val="00F50020"/>
    <w:rsid w:val="00F50055"/>
    <w:rsid w:val="00F50671"/>
    <w:rsid w:val="00F50835"/>
    <w:rsid w:val="00F50849"/>
    <w:rsid w:val="00F513BA"/>
    <w:rsid w:val="00F51447"/>
    <w:rsid w:val="00F514EF"/>
    <w:rsid w:val="00F516F4"/>
    <w:rsid w:val="00F517FC"/>
    <w:rsid w:val="00F5234E"/>
    <w:rsid w:val="00F5248D"/>
    <w:rsid w:val="00F52756"/>
    <w:rsid w:val="00F528A1"/>
    <w:rsid w:val="00F52A47"/>
    <w:rsid w:val="00F52A4B"/>
    <w:rsid w:val="00F52C6C"/>
    <w:rsid w:val="00F52E0C"/>
    <w:rsid w:val="00F52E16"/>
    <w:rsid w:val="00F52FA8"/>
    <w:rsid w:val="00F532FD"/>
    <w:rsid w:val="00F53854"/>
    <w:rsid w:val="00F538CD"/>
    <w:rsid w:val="00F53AD8"/>
    <w:rsid w:val="00F54192"/>
    <w:rsid w:val="00F542D8"/>
    <w:rsid w:val="00F54460"/>
    <w:rsid w:val="00F548C8"/>
    <w:rsid w:val="00F54B39"/>
    <w:rsid w:val="00F550B5"/>
    <w:rsid w:val="00F553D1"/>
    <w:rsid w:val="00F55410"/>
    <w:rsid w:val="00F55589"/>
    <w:rsid w:val="00F558E3"/>
    <w:rsid w:val="00F55AC5"/>
    <w:rsid w:val="00F564B4"/>
    <w:rsid w:val="00F56D31"/>
    <w:rsid w:val="00F57183"/>
    <w:rsid w:val="00F5765A"/>
    <w:rsid w:val="00F57C72"/>
    <w:rsid w:val="00F57E51"/>
    <w:rsid w:val="00F6021A"/>
    <w:rsid w:val="00F6021F"/>
    <w:rsid w:val="00F6083E"/>
    <w:rsid w:val="00F60845"/>
    <w:rsid w:val="00F61158"/>
    <w:rsid w:val="00F611BC"/>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D7D"/>
    <w:rsid w:val="00F65E8A"/>
    <w:rsid w:val="00F65E91"/>
    <w:rsid w:val="00F65F6B"/>
    <w:rsid w:val="00F660B8"/>
    <w:rsid w:val="00F6617D"/>
    <w:rsid w:val="00F665CA"/>
    <w:rsid w:val="00F66709"/>
    <w:rsid w:val="00F669E3"/>
    <w:rsid w:val="00F66AF7"/>
    <w:rsid w:val="00F672EB"/>
    <w:rsid w:val="00F6753C"/>
    <w:rsid w:val="00F67906"/>
    <w:rsid w:val="00F67A85"/>
    <w:rsid w:val="00F67B16"/>
    <w:rsid w:val="00F67D0D"/>
    <w:rsid w:val="00F70BD3"/>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24C"/>
    <w:rsid w:val="00F74664"/>
    <w:rsid w:val="00F74791"/>
    <w:rsid w:val="00F747FD"/>
    <w:rsid w:val="00F74A7A"/>
    <w:rsid w:val="00F75057"/>
    <w:rsid w:val="00F75C0B"/>
    <w:rsid w:val="00F763DF"/>
    <w:rsid w:val="00F77028"/>
    <w:rsid w:val="00F7792A"/>
    <w:rsid w:val="00F77A26"/>
    <w:rsid w:val="00F77A6F"/>
    <w:rsid w:val="00F77C47"/>
    <w:rsid w:val="00F77CFA"/>
    <w:rsid w:val="00F802D3"/>
    <w:rsid w:val="00F80A32"/>
    <w:rsid w:val="00F80CAD"/>
    <w:rsid w:val="00F80D8F"/>
    <w:rsid w:val="00F8116A"/>
    <w:rsid w:val="00F81311"/>
    <w:rsid w:val="00F81625"/>
    <w:rsid w:val="00F81A54"/>
    <w:rsid w:val="00F81B5F"/>
    <w:rsid w:val="00F81E0E"/>
    <w:rsid w:val="00F81E83"/>
    <w:rsid w:val="00F81F25"/>
    <w:rsid w:val="00F82272"/>
    <w:rsid w:val="00F825FF"/>
    <w:rsid w:val="00F82760"/>
    <w:rsid w:val="00F82956"/>
    <w:rsid w:val="00F82A7D"/>
    <w:rsid w:val="00F82D8E"/>
    <w:rsid w:val="00F83301"/>
    <w:rsid w:val="00F837DD"/>
    <w:rsid w:val="00F849D7"/>
    <w:rsid w:val="00F84A2F"/>
    <w:rsid w:val="00F84BAB"/>
    <w:rsid w:val="00F84F10"/>
    <w:rsid w:val="00F850EB"/>
    <w:rsid w:val="00F851D5"/>
    <w:rsid w:val="00F852D1"/>
    <w:rsid w:val="00F855CB"/>
    <w:rsid w:val="00F85744"/>
    <w:rsid w:val="00F86165"/>
    <w:rsid w:val="00F862CA"/>
    <w:rsid w:val="00F863EB"/>
    <w:rsid w:val="00F864AD"/>
    <w:rsid w:val="00F86B20"/>
    <w:rsid w:val="00F86BCE"/>
    <w:rsid w:val="00F86C43"/>
    <w:rsid w:val="00F86F20"/>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D0"/>
    <w:rsid w:val="00F910E4"/>
    <w:rsid w:val="00F915AB"/>
    <w:rsid w:val="00F9174D"/>
    <w:rsid w:val="00F91906"/>
    <w:rsid w:val="00F91932"/>
    <w:rsid w:val="00F91CA2"/>
    <w:rsid w:val="00F91DAC"/>
    <w:rsid w:val="00F92174"/>
    <w:rsid w:val="00F92185"/>
    <w:rsid w:val="00F923DB"/>
    <w:rsid w:val="00F92725"/>
    <w:rsid w:val="00F92A1A"/>
    <w:rsid w:val="00F9357A"/>
    <w:rsid w:val="00F9360D"/>
    <w:rsid w:val="00F939E7"/>
    <w:rsid w:val="00F93A3D"/>
    <w:rsid w:val="00F93A5F"/>
    <w:rsid w:val="00F94003"/>
    <w:rsid w:val="00F945E2"/>
    <w:rsid w:val="00F94737"/>
    <w:rsid w:val="00F9495D"/>
    <w:rsid w:val="00F94E3F"/>
    <w:rsid w:val="00F95013"/>
    <w:rsid w:val="00F951BD"/>
    <w:rsid w:val="00F95243"/>
    <w:rsid w:val="00F9590D"/>
    <w:rsid w:val="00F95E8C"/>
    <w:rsid w:val="00F9632D"/>
    <w:rsid w:val="00F9644F"/>
    <w:rsid w:val="00F96479"/>
    <w:rsid w:val="00F965D9"/>
    <w:rsid w:val="00F96A1F"/>
    <w:rsid w:val="00F96C7A"/>
    <w:rsid w:val="00F96E7C"/>
    <w:rsid w:val="00F96FAF"/>
    <w:rsid w:val="00F975B5"/>
    <w:rsid w:val="00F97666"/>
    <w:rsid w:val="00F97F06"/>
    <w:rsid w:val="00FA0509"/>
    <w:rsid w:val="00FA0715"/>
    <w:rsid w:val="00FA0E7C"/>
    <w:rsid w:val="00FA17D6"/>
    <w:rsid w:val="00FA1B1E"/>
    <w:rsid w:val="00FA1CBF"/>
    <w:rsid w:val="00FA1D8F"/>
    <w:rsid w:val="00FA1EB0"/>
    <w:rsid w:val="00FA2002"/>
    <w:rsid w:val="00FA2526"/>
    <w:rsid w:val="00FA2663"/>
    <w:rsid w:val="00FA27B9"/>
    <w:rsid w:val="00FA2AB0"/>
    <w:rsid w:val="00FA2EB9"/>
    <w:rsid w:val="00FA33A2"/>
    <w:rsid w:val="00FA3871"/>
    <w:rsid w:val="00FA3C84"/>
    <w:rsid w:val="00FA4131"/>
    <w:rsid w:val="00FA48E0"/>
    <w:rsid w:val="00FA4EDE"/>
    <w:rsid w:val="00FA50E8"/>
    <w:rsid w:val="00FA526F"/>
    <w:rsid w:val="00FA53C1"/>
    <w:rsid w:val="00FA5527"/>
    <w:rsid w:val="00FA558C"/>
    <w:rsid w:val="00FA5710"/>
    <w:rsid w:val="00FA5871"/>
    <w:rsid w:val="00FA589E"/>
    <w:rsid w:val="00FA5909"/>
    <w:rsid w:val="00FA5A96"/>
    <w:rsid w:val="00FA5DCB"/>
    <w:rsid w:val="00FA6225"/>
    <w:rsid w:val="00FA6244"/>
    <w:rsid w:val="00FA656D"/>
    <w:rsid w:val="00FA65C9"/>
    <w:rsid w:val="00FA6686"/>
    <w:rsid w:val="00FA6A8C"/>
    <w:rsid w:val="00FA6E07"/>
    <w:rsid w:val="00FA770A"/>
    <w:rsid w:val="00FA7A20"/>
    <w:rsid w:val="00FA7AA6"/>
    <w:rsid w:val="00FA7B38"/>
    <w:rsid w:val="00FA7C04"/>
    <w:rsid w:val="00FB03E5"/>
    <w:rsid w:val="00FB0443"/>
    <w:rsid w:val="00FB0540"/>
    <w:rsid w:val="00FB08E9"/>
    <w:rsid w:val="00FB1309"/>
    <w:rsid w:val="00FB15D5"/>
    <w:rsid w:val="00FB18E8"/>
    <w:rsid w:val="00FB19D8"/>
    <w:rsid w:val="00FB22E5"/>
    <w:rsid w:val="00FB2864"/>
    <w:rsid w:val="00FB292D"/>
    <w:rsid w:val="00FB2A80"/>
    <w:rsid w:val="00FB2F94"/>
    <w:rsid w:val="00FB3CD6"/>
    <w:rsid w:val="00FB4065"/>
    <w:rsid w:val="00FB4760"/>
    <w:rsid w:val="00FB47B5"/>
    <w:rsid w:val="00FB4D00"/>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452"/>
    <w:rsid w:val="00FC37F0"/>
    <w:rsid w:val="00FC3B07"/>
    <w:rsid w:val="00FC3BBC"/>
    <w:rsid w:val="00FC3EEB"/>
    <w:rsid w:val="00FC4278"/>
    <w:rsid w:val="00FC4423"/>
    <w:rsid w:val="00FC47CD"/>
    <w:rsid w:val="00FC47D1"/>
    <w:rsid w:val="00FC4CA4"/>
    <w:rsid w:val="00FC4ED1"/>
    <w:rsid w:val="00FC4F3D"/>
    <w:rsid w:val="00FC545C"/>
    <w:rsid w:val="00FC553E"/>
    <w:rsid w:val="00FC5778"/>
    <w:rsid w:val="00FC58DB"/>
    <w:rsid w:val="00FC65A0"/>
    <w:rsid w:val="00FC6B41"/>
    <w:rsid w:val="00FC6C9B"/>
    <w:rsid w:val="00FC6D8C"/>
    <w:rsid w:val="00FC6DA4"/>
    <w:rsid w:val="00FC791E"/>
    <w:rsid w:val="00FC7F93"/>
    <w:rsid w:val="00FD10D2"/>
    <w:rsid w:val="00FD235B"/>
    <w:rsid w:val="00FD2804"/>
    <w:rsid w:val="00FD282A"/>
    <w:rsid w:val="00FD2A71"/>
    <w:rsid w:val="00FD3124"/>
    <w:rsid w:val="00FD33B6"/>
    <w:rsid w:val="00FD3905"/>
    <w:rsid w:val="00FD49E9"/>
    <w:rsid w:val="00FD4CC0"/>
    <w:rsid w:val="00FD4D2D"/>
    <w:rsid w:val="00FD56B2"/>
    <w:rsid w:val="00FD5999"/>
    <w:rsid w:val="00FD6318"/>
    <w:rsid w:val="00FD6A3D"/>
    <w:rsid w:val="00FD6D13"/>
    <w:rsid w:val="00FD6F9D"/>
    <w:rsid w:val="00FD72D9"/>
    <w:rsid w:val="00FD73AE"/>
    <w:rsid w:val="00FD7D6B"/>
    <w:rsid w:val="00FE00DC"/>
    <w:rsid w:val="00FE0477"/>
    <w:rsid w:val="00FE0657"/>
    <w:rsid w:val="00FE0E08"/>
    <w:rsid w:val="00FE15F5"/>
    <w:rsid w:val="00FE1728"/>
    <w:rsid w:val="00FE1E88"/>
    <w:rsid w:val="00FE1EC0"/>
    <w:rsid w:val="00FE22FE"/>
    <w:rsid w:val="00FE2A5B"/>
    <w:rsid w:val="00FE2B7B"/>
    <w:rsid w:val="00FE3100"/>
    <w:rsid w:val="00FE3687"/>
    <w:rsid w:val="00FE3768"/>
    <w:rsid w:val="00FE3D47"/>
    <w:rsid w:val="00FE42C4"/>
    <w:rsid w:val="00FE47B0"/>
    <w:rsid w:val="00FE5172"/>
    <w:rsid w:val="00FE5236"/>
    <w:rsid w:val="00FE53E8"/>
    <w:rsid w:val="00FE5509"/>
    <w:rsid w:val="00FE5977"/>
    <w:rsid w:val="00FE5B02"/>
    <w:rsid w:val="00FE5C99"/>
    <w:rsid w:val="00FE5CB2"/>
    <w:rsid w:val="00FE650C"/>
    <w:rsid w:val="00FE65AA"/>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967"/>
    <w:rsid w:val="00FF0BBB"/>
    <w:rsid w:val="00FF1455"/>
    <w:rsid w:val="00FF1716"/>
    <w:rsid w:val="00FF1920"/>
    <w:rsid w:val="00FF1ACF"/>
    <w:rsid w:val="00FF26B7"/>
    <w:rsid w:val="00FF289A"/>
    <w:rsid w:val="00FF2A88"/>
    <w:rsid w:val="00FF303D"/>
    <w:rsid w:val="00FF36EE"/>
    <w:rsid w:val="00FF37C5"/>
    <w:rsid w:val="00FF3A12"/>
    <w:rsid w:val="00FF3C0B"/>
    <w:rsid w:val="00FF3CFC"/>
    <w:rsid w:val="00FF40CB"/>
    <w:rsid w:val="00FF43AF"/>
    <w:rsid w:val="00FF48E0"/>
    <w:rsid w:val="00FF5026"/>
    <w:rsid w:val="00FF5173"/>
    <w:rsid w:val="00FF51D0"/>
    <w:rsid w:val="00FF52CC"/>
    <w:rsid w:val="00FF52E3"/>
    <w:rsid w:val="00FF536F"/>
    <w:rsid w:val="00FF56EB"/>
    <w:rsid w:val="00FF59D9"/>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105EFB"/>
    <w:pPr>
      <w:overflowPunct/>
      <w:autoSpaceDE/>
      <w:autoSpaceDN/>
      <w:adjustRightInd/>
      <w:spacing w:after="120"/>
      <w:textAlignment w:val="auto"/>
    </w:pPr>
    <w:rPr>
      <w:rFonts w:eastAsia="Calibri"/>
      <w:szCs w:val="22"/>
      <w:lang w:val="en-GB"/>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ReferenceChar">
    <w:name w:val="Reference Char"/>
    <w:link w:val="Reference"/>
    <w:rsid w:val="007429CA"/>
    <w:rPr>
      <w:rFonts w:ascii="Times New Roman" w:hAnsi="Times New Roman"/>
      <w:lang w:eastAsia="ar-SA"/>
    </w:rPr>
  </w:style>
  <w:style w:type="paragraph" w:styleId="TableofFigures">
    <w:name w:val="table of figures"/>
    <w:basedOn w:val="Normal"/>
    <w:next w:val="Normal"/>
    <w:uiPriority w:val="99"/>
    <w:unhideWhenUsed/>
    <w:rsid w:val="003B4AAF"/>
    <w:pPr>
      <w:spacing w:before="120" w:after="120"/>
    </w:pPr>
  </w:style>
  <w:style w:type="paragraph" w:customStyle="1" w:styleId="Default">
    <w:name w:val="Default"/>
    <w:rsid w:val="002A5953"/>
    <w:pPr>
      <w:autoSpaceDE w:val="0"/>
      <w:autoSpaceDN w:val="0"/>
      <w:adjustRightInd w:val="0"/>
    </w:pPr>
    <w:rPr>
      <w:rFonts w:ascii="Times New Roman" w:hAnsi="Times New Roman"/>
      <w:color w:val="000000"/>
      <w:sz w:val="24"/>
      <w:szCs w:val="24"/>
    </w:rPr>
  </w:style>
  <w:style w:type="character" w:customStyle="1" w:styleId="Doc-text2Char">
    <w:name w:val="Doc-text2 Char"/>
    <w:link w:val="Doc-text2"/>
    <w:rsid w:val="00ED57BA"/>
    <w:rPr>
      <w:rFonts w:ascii="Arial" w:eastAsia="MS Mincho" w:hAnsi="Arial"/>
      <w:szCs w:val="24"/>
    </w:rPr>
  </w:style>
  <w:style w:type="paragraph" w:customStyle="1" w:styleId="Doc-text2">
    <w:name w:val="Doc-text2"/>
    <w:basedOn w:val="Normal"/>
    <w:link w:val="Doc-text2Char"/>
    <w:rsid w:val="00ED57BA"/>
    <w:pPr>
      <w:tabs>
        <w:tab w:val="left" w:pos="1622"/>
      </w:tabs>
      <w:overflowPunct/>
      <w:autoSpaceDE/>
      <w:autoSpaceDN/>
      <w:adjustRightInd/>
      <w:spacing w:after="0"/>
      <w:ind w:left="1622" w:hanging="363"/>
      <w:textAlignment w:val="auto"/>
    </w:pPr>
    <w:rPr>
      <w:rFonts w:ascii="Arial" w:eastAsia="MS Mincho" w:hAnsi="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1382">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9890807">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5971883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5030626">
      <w:bodyDiv w:val="1"/>
      <w:marLeft w:val="0"/>
      <w:marRight w:val="0"/>
      <w:marTop w:val="0"/>
      <w:marBottom w:val="0"/>
      <w:divBdr>
        <w:top w:val="none" w:sz="0" w:space="0" w:color="auto"/>
        <w:left w:val="none" w:sz="0" w:space="0" w:color="auto"/>
        <w:bottom w:val="none" w:sz="0" w:space="0" w:color="auto"/>
        <w:right w:val="none" w:sz="0" w:space="0" w:color="auto"/>
      </w:divBdr>
    </w:div>
    <w:div w:id="95835306">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865363">
      <w:bodyDiv w:val="1"/>
      <w:marLeft w:val="0"/>
      <w:marRight w:val="0"/>
      <w:marTop w:val="0"/>
      <w:marBottom w:val="0"/>
      <w:divBdr>
        <w:top w:val="none" w:sz="0" w:space="0" w:color="auto"/>
        <w:left w:val="none" w:sz="0" w:space="0" w:color="auto"/>
        <w:bottom w:val="none" w:sz="0" w:space="0" w:color="auto"/>
        <w:right w:val="none" w:sz="0" w:space="0" w:color="auto"/>
      </w:divBdr>
    </w:div>
    <w:div w:id="219755256">
      <w:bodyDiv w:val="1"/>
      <w:marLeft w:val="0"/>
      <w:marRight w:val="0"/>
      <w:marTop w:val="0"/>
      <w:marBottom w:val="0"/>
      <w:divBdr>
        <w:top w:val="none" w:sz="0" w:space="0" w:color="auto"/>
        <w:left w:val="none" w:sz="0" w:space="0" w:color="auto"/>
        <w:bottom w:val="none" w:sz="0" w:space="0" w:color="auto"/>
        <w:right w:val="none" w:sz="0" w:space="0" w:color="auto"/>
      </w:divBdr>
    </w:div>
    <w:div w:id="22926626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0722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010266">
      <w:bodyDiv w:val="1"/>
      <w:marLeft w:val="0"/>
      <w:marRight w:val="0"/>
      <w:marTop w:val="0"/>
      <w:marBottom w:val="0"/>
      <w:divBdr>
        <w:top w:val="none" w:sz="0" w:space="0" w:color="auto"/>
        <w:left w:val="none" w:sz="0" w:space="0" w:color="auto"/>
        <w:bottom w:val="none" w:sz="0" w:space="0" w:color="auto"/>
        <w:right w:val="none" w:sz="0" w:space="0" w:color="auto"/>
      </w:divBdr>
    </w:div>
    <w:div w:id="2711299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1592378">
      <w:bodyDiv w:val="1"/>
      <w:marLeft w:val="0"/>
      <w:marRight w:val="0"/>
      <w:marTop w:val="0"/>
      <w:marBottom w:val="0"/>
      <w:divBdr>
        <w:top w:val="none" w:sz="0" w:space="0" w:color="auto"/>
        <w:left w:val="none" w:sz="0" w:space="0" w:color="auto"/>
        <w:bottom w:val="none" w:sz="0" w:space="0" w:color="auto"/>
        <w:right w:val="none" w:sz="0" w:space="0" w:color="auto"/>
      </w:divBdr>
    </w:div>
    <w:div w:id="310905943">
      <w:bodyDiv w:val="1"/>
      <w:marLeft w:val="0"/>
      <w:marRight w:val="0"/>
      <w:marTop w:val="0"/>
      <w:marBottom w:val="0"/>
      <w:divBdr>
        <w:top w:val="none" w:sz="0" w:space="0" w:color="auto"/>
        <w:left w:val="none" w:sz="0" w:space="0" w:color="auto"/>
        <w:bottom w:val="none" w:sz="0" w:space="0" w:color="auto"/>
        <w:right w:val="none" w:sz="0" w:space="0" w:color="auto"/>
      </w:divBdr>
    </w:div>
    <w:div w:id="358043664">
      <w:bodyDiv w:val="1"/>
      <w:marLeft w:val="0"/>
      <w:marRight w:val="0"/>
      <w:marTop w:val="0"/>
      <w:marBottom w:val="0"/>
      <w:divBdr>
        <w:top w:val="none" w:sz="0" w:space="0" w:color="auto"/>
        <w:left w:val="none" w:sz="0" w:space="0" w:color="auto"/>
        <w:bottom w:val="none" w:sz="0" w:space="0" w:color="auto"/>
        <w:right w:val="none" w:sz="0" w:space="0" w:color="auto"/>
      </w:divBdr>
    </w:div>
    <w:div w:id="367025592">
      <w:bodyDiv w:val="1"/>
      <w:marLeft w:val="0"/>
      <w:marRight w:val="0"/>
      <w:marTop w:val="0"/>
      <w:marBottom w:val="0"/>
      <w:divBdr>
        <w:top w:val="none" w:sz="0" w:space="0" w:color="auto"/>
        <w:left w:val="none" w:sz="0" w:space="0" w:color="auto"/>
        <w:bottom w:val="none" w:sz="0" w:space="0" w:color="auto"/>
        <w:right w:val="none" w:sz="0" w:space="0" w:color="auto"/>
      </w:divBdr>
    </w:div>
    <w:div w:id="391121316">
      <w:bodyDiv w:val="1"/>
      <w:marLeft w:val="0"/>
      <w:marRight w:val="0"/>
      <w:marTop w:val="0"/>
      <w:marBottom w:val="0"/>
      <w:divBdr>
        <w:top w:val="none" w:sz="0" w:space="0" w:color="auto"/>
        <w:left w:val="none" w:sz="0" w:space="0" w:color="auto"/>
        <w:bottom w:val="none" w:sz="0" w:space="0" w:color="auto"/>
        <w:right w:val="none" w:sz="0" w:space="0" w:color="auto"/>
      </w:divBdr>
    </w:div>
    <w:div w:id="396782477">
      <w:bodyDiv w:val="1"/>
      <w:marLeft w:val="0"/>
      <w:marRight w:val="0"/>
      <w:marTop w:val="0"/>
      <w:marBottom w:val="0"/>
      <w:divBdr>
        <w:top w:val="none" w:sz="0" w:space="0" w:color="auto"/>
        <w:left w:val="none" w:sz="0" w:space="0" w:color="auto"/>
        <w:bottom w:val="none" w:sz="0" w:space="0" w:color="auto"/>
        <w:right w:val="none" w:sz="0" w:space="0" w:color="auto"/>
      </w:divBdr>
    </w:div>
    <w:div w:id="403376822">
      <w:bodyDiv w:val="1"/>
      <w:marLeft w:val="0"/>
      <w:marRight w:val="0"/>
      <w:marTop w:val="0"/>
      <w:marBottom w:val="0"/>
      <w:divBdr>
        <w:top w:val="none" w:sz="0" w:space="0" w:color="auto"/>
        <w:left w:val="none" w:sz="0" w:space="0" w:color="auto"/>
        <w:bottom w:val="none" w:sz="0" w:space="0" w:color="auto"/>
        <w:right w:val="none" w:sz="0" w:space="0" w:color="auto"/>
      </w:divBdr>
    </w:div>
    <w:div w:id="42673478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3394">
      <w:bodyDiv w:val="1"/>
      <w:marLeft w:val="0"/>
      <w:marRight w:val="0"/>
      <w:marTop w:val="0"/>
      <w:marBottom w:val="0"/>
      <w:divBdr>
        <w:top w:val="none" w:sz="0" w:space="0" w:color="auto"/>
        <w:left w:val="none" w:sz="0" w:space="0" w:color="auto"/>
        <w:bottom w:val="none" w:sz="0" w:space="0" w:color="auto"/>
        <w:right w:val="none" w:sz="0" w:space="0" w:color="auto"/>
      </w:divBdr>
    </w:div>
    <w:div w:id="60296053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871166">
      <w:bodyDiv w:val="1"/>
      <w:marLeft w:val="0"/>
      <w:marRight w:val="0"/>
      <w:marTop w:val="0"/>
      <w:marBottom w:val="0"/>
      <w:divBdr>
        <w:top w:val="none" w:sz="0" w:space="0" w:color="auto"/>
        <w:left w:val="none" w:sz="0" w:space="0" w:color="auto"/>
        <w:bottom w:val="none" w:sz="0" w:space="0" w:color="auto"/>
        <w:right w:val="none" w:sz="0" w:space="0" w:color="auto"/>
      </w:divBdr>
    </w:div>
    <w:div w:id="716397819">
      <w:bodyDiv w:val="1"/>
      <w:marLeft w:val="0"/>
      <w:marRight w:val="0"/>
      <w:marTop w:val="0"/>
      <w:marBottom w:val="0"/>
      <w:divBdr>
        <w:top w:val="none" w:sz="0" w:space="0" w:color="auto"/>
        <w:left w:val="none" w:sz="0" w:space="0" w:color="auto"/>
        <w:bottom w:val="none" w:sz="0" w:space="0" w:color="auto"/>
        <w:right w:val="none" w:sz="0" w:space="0" w:color="auto"/>
      </w:divBdr>
    </w:div>
    <w:div w:id="754592792">
      <w:bodyDiv w:val="1"/>
      <w:marLeft w:val="0"/>
      <w:marRight w:val="0"/>
      <w:marTop w:val="0"/>
      <w:marBottom w:val="0"/>
      <w:divBdr>
        <w:top w:val="none" w:sz="0" w:space="0" w:color="auto"/>
        <w:left w:val="none" w:sz="0" w:space="0" w:color="auto"/>
        <w:bottom w:val="none" w:sz="0" w:space="0" w:color="auto"/>
        <w:right w:val="none" w:sz="0" w:space="0" w:color="auto"/>
      </w:divBdr>
    </w:div>
    <w:div w:id="7718963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793267">
      <w:bodyDiv w:val="1"/>
      <w:marLeft w:val="0"/>
      <w:marRight w:val="0"/>
      <w:marTop w:val="0"/>
      <w:marBottom w:val="0"/>
      <w:divBdr>
        <w:top w:val="none" w:sz="0" w:space="0" w:color="auto"/>
        <w:left w:val="none" w:sz="0" w:space="0" w:color="auto"/>
        <w:bottom w:val="none" w:sz="0" w:space="0" w:color="auto"/>
        <w:right w:val="none" w:sz="0" w:space="0" w:color="auto"/>
      </w:divBdr>
    </w:div>
    <w:div w:id="87708475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183283">
      <w:bodyDiv w:val="1"/>
      <w:marLeft w:val="0"/>
      <w:marRight w:val="0"/>
      <w:marTop w:val="0"/>
      <w:marBottom w:val="0"/>
      <w:divBdr>
        <w:top w:val="none" w:sz="0" w:space="0" w:color="auto"/>
        <w:left w:val="none" w:sz="0" w:space="0" w:color="auto"/>
        <w:bottom w:val="none" w:sz="0" w:space="0" w:color="auto"/>
        <w:right w:val="none" w:sz="0" w:space="0" w:color="auto"/>
      </w:divBdr>
      <w:divsChild>
        <w:div w:id="1031305259">
          <w:marLeft w:val="1080"/>
          <w:marRight w:val="0"/>
          <w:marTop w:val="100"/>
          <w:marBottom w:val="0"/>
          <w:divBdr>
            <w:top w:val="none" w:sz="0" w:space="0" w:color="auto"/>
            <w:left w:val="none" w:sz="0" w:space="0" w:color="auto"/>
            <w:bottom w:val="none" w:sz="0" w:space="0" w:color="auto"/>
            <w:right w:val="none" w:sz="0" w:space="0" w:color="auto"/>
          </w:divBdr>
        </w:div>
        <w:div w:id="32314672">
          <w:marLeft w:val="1800"/>
          <w:marRight w:val="0"/>
          <w:marTop w:val="100"/>
          <w:marBottom w:val="0"/>
          <w:divBdr>
            <w:top w:val="none" w:sz="0" w:space="0" w:color="auto"/>
            <w:left w:val="none" w:sz="0" w:space="0" w:color="auto"/>
            <w:bottom w:val="none" w:sz="0" w:space="0" w:color="auto"/>
            <w:right w:val="none" w:sz="0" w:space="0" w:color="auto"/>
          </w:divBdr>
        </w:div>
        <w:div w:id="1031496605">
          <w:marLeft w:val="1800"/>
          <w:marRight w:val="0"/>
          <w:marTop w:val="10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380">
      <w:bodyDiv w:val="1"/>
      <w:marLeft w:val="0"/>
      <w:marRight w:val="0"/>
      <w:marTop w:val="0"/>
      <w:marBottom w:val="0"/>
      <w:divBdr>
        <w:top w:val="none" w:sz="0" w:space="0" w:color="auto"/>
        <w:left w:val="none" w:sz="0" w:space="0" w:color="auto"/>
        <w:bottom w:val="none" w:sz="0" w:space="0" w:color="auto"/>
        <w:right w:val="none" w:sz="0" w:space="0" w:color="auto"/>
      </w:divBdr>
    </w:div>
    <w:div w:id="94523198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9264066">
      <w:bodyDiv w:val="1"/>
      <w:marLeft w:val="0"/>
      <w:marRight w:val="0"/>
      <w:marTop w:val="0"/>
      <w:marBottom w:val="0"/>
      <w:divBdr>
        <w:top w:val="none" w:sz="0" w:space="0" w:color="auto"/>
        <w:left w:val="none" w:sz="0" w:space="0" w:color="auto"/>
        <w:bottom w:val="none" w:sz="0" w:space="0" w:color="auto"/>
        <w:right w:val="none" w:sz="0" w:space="0" w:color="auto"/>
      </w:divBdr>
    </w:div>
    <w:div w:id="9949133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2418247">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514746">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75392803">
      <w:bodyDiv w:val="1"/>
      <w:marLeft w:val="0"/>
      <w:marRight w:val="0"/>
      <w:marTop w:val="0"/>
      <w:marBottom w:val="0"/>
      <w:divBdr>
        <w:top w:val="none" w:sz="0" w:space="0" w:color="auto"/>
        <w:left w:val="none" w:sz="0" w:space="0" w:color="auto"/>
        <w:bottom w:val="none" w:sz="0" w:space="0" w:color="auto"/>
        <w:right w:val="none" w:sz="0" w:space="0" w:color="auto"/>
      </w:divBdr>
    </w:div>
    <w:div w:id="108194561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289940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31248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80852">
      <w:bodyDiv w:val="1"/>
      <w:marLeft w:val="0"/>
      <w:marRight w:val="0"/>
      <w:marTop w:val="0"/>
      <w:marBottom w:val="0"/>
      <w:divBdr>
        <w:top w:val="none" w:sz="0" w:space="0" w:color="auto"/>
        <w:left w:val="none" w:sz="0" w:space="0" w:color="auto"/>
        <w:bottom w:val="none" w:sz="0" w:space="0" w:color="auto"/>
        <w:right w:val="none" w:sz="0" w:space="0" w:color="auto"/>
      </w:divBdr>
    </w:div>
    <w:div w:id="116774650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7892841">
      <w:bodyDiv w:val="1"/>
      <w:marLeft w:val="0"/>
      <w:marRight w:val="0"/>
      <w:marTop w:val="0"/>
      <w:marBottom w:val="0"/>
      <w:divBdr>
        <w:top w:val="none" w:sz="0" w:space="0" w:color="auto"/>
        <w:left w:val="none" w:sz="0" w:space="0" w:color="auto"/>
        <w:bottom w:val="none" w:sz="0" w:space="0" w:color="auto"/>
        <w:right w:val="none" w:sz="0" w:space="0" w:color="auto"/>
      </w:divBdr>
      <w:divsChild>
        <w:div w:id="227303679">
          <w:marLeft w:val="1800"/>
          <w:marRight w:val="0"/>
          <w:marTop w:val="100"/>
          <w:marBottom w:val="0"/>
          <w:divBdr>
            <w:top w:val="none" w:sz="0" w:space="0" w:color="auto"/>
            <w:left w:val="none" w:sz="0" w:space="0" w:color="auto"/>
            <w:bottom w:val="none" w:sz="0" w:space="0" w:color="auto"/>
            <w:right w:val="none" w:sz="0" w:space="0" w:color="auto"/>
          </w:divBdr>
        </w:div>
      </w:divsChild>
    </w:div>
    <w:div w:id="1198812224">
      <w:bodyDiv w:val="1"/>
      <w:marLeft w:val="0"/>
      <w:marRight w:val="0"/>
      <w:marTop w:val="0"/>
      <w:marBottom w:val="0"/>
      <w:divBdr>
        <w:top w:val="none" w:sz="0" w:space="0" w:color="auto"/>
        <w:left w:val="none" w:sz="0" w:space="0" w:color="auto"/>
        <w:bottom w:val="none" w:sz="0" w:space="0" w:color="auto"/>
        <w:right w:val="none" w:sz="0" w:space="0" w:color="auto"/>
      </w:divBdr>
      <w:divsChild>
        <w:div w:id="1314529632">
          <w:marLeft w:val="2520"/>
          <w:marRight w:val="0"/>
          <w:marTop w:val="100"/>
          <w:marBottom w:val="0"/>
          <w:divBdr>
            <w:top w:val="none" w:sz="0" w:space="0" w:color="auto"/>
            <w:left w:val="none" w:sz="0" w:space="0" w:color="auto"/>
            <w:bottom w:val="none" w:sz="0" w:space="0" w:color="auto"/>
            <w:right w:val="none" w:sz="0" w:space="0" w:color="auto"/>
          </w:divBdr>
        </w:div>
        <w:div w:id="801190794">
          <w:marLeft w:val="2520"/>
          <w:marRight w:val="0"/>
          <w:marTop w:val="100"/>
          <w:marBottom w:val="0"/>
          <w:divBdr>
            <w:top w:val="none" w:sz="0" w:space="0" w:color="auto"/>
            <w:left w:val="none" w:sz="0" w:space="0" w:color="auto"/>
            <w:bottom w:val="none" w:sz="0" w:space="0" w:color="auto"/>
            <w:right w:val="none" w:sz="0" w:space="0" w:color="auto"/>
          </w:divBdr>
        </w:div>
      </w:divsChild>
    </w:div>
    <w:div w:id="120941931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29614250">
      <w:bodyDiv w:val="1"/>
      <w:marLeft w:val="0"/>
      <w:marRight w:val="0"/>
      <w:marTop w:val="0"/>
      <w:marBottom w:val="0"/>
      <w:divBdr>
        <w:top w:val="none" w:sz="0" w:space="0" w:color="auto"/>
        <w:left w:val="none" w:sz="0" w:space="0" w:color="auto"/>
        <w:bottom w:val="none" w:sz="0" w:space="0" w:color="auto"/>
        <w:right w:val="none" w:sz="0" w:space="0" w:color="auto"/>
      </w:divBdr>
    </w:div>
    <w:div w:id="1232617584">
      <w:bodyDiv w:val="1"/>
      <w:marLeft w:val="0"/>
      <w:marRight w:val="0"/>
      <w:marTop w:val="0"/>
      <w:marBottom w:val="0"/>
      <w:divBdr>
        <w:top w:val="none" w:sz="0" w:space="0" w:color="auto"/>
        <w:left w:val="none" w:sz="0" w:space="0" w:color="auto"/>
        <w:bottom w:val="none" w:sz="0" w:space="0" w:color="auto"/>
        <w:right w:val="none" w:sz="0" w:space="0" w:color="auto"/>
      </w:divBdr>
    </w:div>
    <w:div w:id="1245796618">
      <w:bodyDiv w:val="1"/>
      <w:marLeft w:val="0"/>
      <w:marRight w:val="0"/>
      <w:marTop w:val="0"/>
      <w:marBottom w:val="0"/>
      <w:divBdr>
        <w:top w:val="none" w:sz="0" w:space="0" w:color="auto"/>
        <w:left w:val="none" w:sz="0" w:space="0" w:color="auto"/>
        <w:bottom w:val="none" w:sz="0" w:space="0" w:color="auto"/>
        <w:right w:val="none" w:sz="0" w:space="0" w:color="auto"/>
      </w:divBdr>
      <w:divsChild>
        <w:div w:id="1911501012">
          <w:marLeft w:val="1080"/>
          <w:marRight w:val="0"/>
          <w:marTop w:val="100"/>
          <w:marBottom w:val="0"/>
          <w:divBdr>
            <w:top w:val="none" w:sz="0" w:space="0" w:color="auto"/>
            <w:left w:val="none" w:sz="0" w:space="0" w:color="auto"/>
            <w:bottom w:val="none" w:sz="0" w:space="0" w:color="auto"/>
            <w:right w:val="none" w:sz="0" w:space="0" w:color="auto"/>
          </w:divBdr>
        </w:div>
        <w:div w:id="916981079">
          <w:marLeft w:val="1800"/>
          <w:marRight w:val="0"/>
          <w:marTop w:val="100"/>
          <w:marBottom w:val="0"/>
          <w:divBdr>
            <w:top w:val="none" w:sz="0" w:space="0" w:color="auto"/>
            <w:left w:val="none" w:sz="0" w:space="0" w:color="auto"/>
            <w:bottom w:val="none" w:sz="0" w:space="0" w:color="auto"/>
            <w:right w:val="none" w:sz="0" w:space="0" w:color="auto"/>
          </w:divBdr>
        </w:div>
        <w:div w:id="1434204006">
          <w:marLeft w:val="1800"/>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446867">
      <w:bodyDiv w:val="1"/>
      <w:marLeft w:val="0"/>
      <w:marRight w:val="0"/>
      <w:marTop w:val="0"/>
      <w:marBottom w:val="0"/>
      <w:divBdr>
        <w:top w:val="none" w:sz="0" w:space="0" w:color="auto"/>
        <w:left w:val="none" w:sz="0" w:space="0" w:color="auto"/>
        <w:bottom w:val="none" w:sz="0" w:space="0" w:color="auto"/>
        <w:right w:val="none" w:sz="0" w:space="0" w:color="auto"/>
      </w:divBdr>
    </w:div>
    <w:div w:id="1285621074">
      <w:bodyDiv w:val="1"/>
      <w:marLeft w:val="0"/>
      <w:marRight w:val="0"/>
      <w:marTop w:val="0"/>
      <w:marBottom w:val="0"/>
      <w:divBdr>
        <w:top w:val="none" w:sz="0" w:space="0" w:color="auto"/>
        <w:left w:val="none" w:sz="0" w:space="0" w:color="auto"/>
        <w:bottom w:val="none" w:sz="0" w:space="0" w:color="auto"/>
        <w:right w:val="none" w:sz="0" w:space="0" w:color="auto"/>
      </w:divBdr>
    </w:div>
    <w:div w:id="129501881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0475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26804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4612783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18577">
      <w:bodyDiv w:val="1"/>
      <w:marLeft w:val="0"/>
      <w:marRight w:val="0"/>
      <w:marTop w:val="0"/>
      <w:marBottom w:val="0"/>
      <w:divBdr>
        <w:top w:val="none" w:sz="0" w:space="0" w:color="auto"/>
        <w:left w:val="none" w:sz="0" w:space="0" w:color="auto"/>
        <w:bottom w:val="none" w:sz="0" w:space="0" w:color="auto"/>
        <w:right w:val="none" w:sz="0" w:space="0" w:color="auto"/>
      </w:divBdr>
    </w:div>
    <w:div w:id="137831753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13903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41028">
      <w:bodyDiv w:val="1"/>
      <w:marLeft w:val="0"/>
      <w:marRight w:val="0"/>
      <w:marTop w:val="0"/>
      <w:marBottom w:val="0"/>
      <w:divBdr>
        <w:top w:val="none" w:sz="0" w:space="0" w:color="auto"/>
        <w:left w:val="none" w:sz="0" w:space="0" w:color="auto"/>
        <w:bottom w:val="none" w:sz="0" w:space="0" w:color="auto"/>
        <w:right w:val="none" w:sz="0" w:space="0" w:color="auto"/>
      </w:divBdr>
    </w:div>
    <w:div w:id="149359742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589077059">
      <w:bodyDiv w:val="1"/>
      <w:marLeft w:val="0"/>
      <w:marRight w:val="0"/>
      <w:marTop w:val="0"/>
      <w:marBottom w:val="0"/>
      <w:divBdr>
        <w:top w:val="none" w:sz="0" w:space="0" w:color="auto"/>
        <w:left w:val="none" w:sz="0" w:space="0" w:color="auto"/>
        <w:bottom w:val="none" w:sz="0" w:space="0" w:color="auto"/>
        <w:right w:val="none" w:sz="0" w:space="0" w:color="auto"/>
      </w:divBdr>
    </w:div>
    <w:div w:id="1604607899">
      <w:bodyDiv w:val="1"/>
      <w:marLeft w:val="0"/>
      <w:marRight w:val="0"/>
      <w:marTop w:val="0"/>
      <w:marBottom w:val="0"/>
      <w:divBdr>
        <w:top w:val="none" w:sz="0" w:space="0" w:color="auto"/>
        <w:left w:val="none" w:sz="0" w:space="0" w:color="auto"/>
        <w:bottom w:val="none" w:sz="0" w:space="0" w:color="auto"/>
        <w:right w:val="none" w:sz="0" w:space="0" w:color="auto"/>
      </w:divBdr>
    </w:div>
    <w:div w:id="1606114191">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5616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188954">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256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947377">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72625557">
      <w:bodyDiv w:val="1"/>
      <w:marLeft w:val="0"/>
      <w:marRight w:val="0"/>
      <w:marTop w:val="0"/>
      <w:marBottom w:val="0"/>
      <w:divBdr>
        <w:top w:val="none" w:sz="0" w:space="0" w:color="auto"/>
        <w:left w:val="none" w:sz="0" w:space="0" w:color="auto"/>
        <w:bottom w:val="none" w:sz="0" w:space="0" w:color="auto"/>
        <w:right w:val="none" w:sz="0" w:space="0" w:color="auto"/>
      </w:divBdr>
    </w:div>
    <w:div w:id="1796215150">
      <w:bodyDiv w:val="1"/>
      <w:marLeft w:val="0"/>
      <w:marRight w:val="0"/>
      <w:marTop w:val="0"/>
      <w:marBottom w:val="0"/>
      <w:divBdr>
        <w:top w:val="none" w:sz="0" w:space="0" w:color="auto"/>
        <w:left w:val="none" w:sz="0" w:space="0" w:color="auto"/>
        <w:bottom w:val="none" w:sz="0" w:space="0" w:color="auto"/>
        <w:right w:val="none" w:sz="0" w:space="0" w:color="auto"/>
      </w:divBdr>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25320197">
      <w:bodyDiv w:val="1"/>
      <w:marLeft w:val="0"/>
      <w:marRight w:val="0"/>
      <w:marTop w:val="0"/>
      <w:marBottom w:val="0"/>
      <w:divBdr>
        <w:top w:val="none" w:sz="0" w:space="0" w:color="auto"/>
        <w:left w:val="none" w:sz="0" w:space="0" w:color="auto"/>
        <w:bottom w:val="none" w:sz="0" w:space="0" w:color="auto"/>
        <w:right w:val="none" w:sz="0" w:space="0" w:color="auto"/>
      </w:divBdr>
    </w:div>
    <w:div w:id="18463608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56367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52197">
      <w:bodyDiv w:val="1"/>
      <w:marLeft w:val="0"/>
      <w:marRight w:val="0"/>
      <w:marTop w:val="0"/>
      <w:marBottom w:val="0"/>
      <w:divBdr>
        <w:top w:val="none" w:sz="0" w:space="0" w:color="auto"/>
        <w:left w:val="none" w:sz="0" w:space="0" w:color="auto"/>
        <w:bottom w:val="none" w:sz="0" w:space="0" w:color="auto"/>
        <w:right w:val="none" w:sz="0" w:space="0" w:color="auto"/>
      </w:divBdr>
    </w:div>
    <w:div w:id="19676588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6860967">
      <w:bodyDiv w:val="1"/>
      <w:marLeft w:val="0"/>
      <w:marRight w:val="0"/>
      <w:marTop w:val="0"/>
      <w:marBottom w:val="0"/>
      <w:divBdr>
        <w:top w:val="none" w:sz="0" w:space="0" w:color="auto"/>
        <w:left w:val="none" w:sz="0" w:space="0" w:color="auto"/>
        <w:bottom w:val="none" w:sz="0" w:space="0" w:color="auto"/>
        <w:right w:val="none" w:sz="0" w:space="0" w:color="auto"/>
      </w:divBdr>
    </w:div>
    <w:div w:id="1986932265">
      <w:bodyDiv w:val="1"/>
      <w:marLeft w:val="0"/>
      <w:marRight w:val="0"/>
      <w:marTop w:val="0"/>
      <w:marBottom w:val="0"/>
      <w:divBdr>
        <w:top w:val="none" w:sz="0" w:space="0" w:color="auto"/>
        <w:left w:val="none" w:sz="0" w:space="0" w:color="auto"/>
        <w:bottom w:val="none" w:sz="0" w:space="0" w:color="auto"/>
        <w:right w:val="none" w:sz="0" w:space="0" w:color="auto"/>
      </w:divBdr>
    </w:div>
    <w:div w:id="1990748664">
      <w:bodyDiv w:val="1"/>
      <w:marLeft w:val="0"/>
      <w:marRight w:val="0"/>
      <w:marTop w:val="0"/>
      <w:marBottom w:val="0"/>
      <w:divBdr>
        <w:top w:val="none" w:sz="0" w:space="0" w:color="auto"/>
        <w:left w:val="none" w:sz="0" w:space="0" w:color="auto"/>
        <w:bottom w:val="none" w:sz="0" w:space="0" w:color="auto"/>
        <w:right w:val="none" w:sz="0" w:space="0" w:color="auto"/>
      </w:divBdr>
    </w:div>
    <w:div w:id="2005009507">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04121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1.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oleObject" Target="embeddings/oleObject3.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oleObject" Target="embeddings/oleObject2.bin"/><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HR33RHYHUWRF-4-6943</_dlc_DocId>
    <_dlc_DocIdUrl xmlns="c06861ca-3f08-4d07-bff7-bb15bac121f4">
      <Url>https://projects.qualcomm.com/sites/pentari/_layouts/15/DocIdRedir.aspx?ID=HR33RHYHUWRF-4-6943</Url>
      <Description>HR33RHYHUWRF-4-6943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09D4EC9-8EA8-4E9B-A526-40337C95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8090</Words>
  <Characters>46118</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Qualcomm</cp:lastModifiedBy>
  <cp:revision>3</cp:revision>
  <cp:lastPrinted>2018-04-07T03:05:00Z</cp:lastPrinted>
  <dcterms:created xsi:type="dcterms:W3CDTF">2018-05-12T04:07:00Z</dcterms:created>
  <dcterms:modified xsi:type="dcterms:W3CDTF">2018-05-12T04:07:00Z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54c491db-9378-4bf0-a897-416c23a716f4</vt:lpwstr>
  </property>
</Properties>
</file>